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82.png" ContentType="image/png"/>
  <Override PartName="/word/media/rId130.png" ContentType="image/png"/>
  <Override PartName="/word/media/rId133.png" ContentType="image/png"/>
  <Override PartName="/word/media/rId136.png" ContentType="image/png"/>
  <Override PartName="/word/media/rId139.png" ContentType="image/png"/>
  <Override PartName="/word/media/rId85.png" ContentType="image/png"/>
  <Override PartName="/word/media/rId142.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Omeprazole</w:t>
      </w:r>
      <w:r>
        <w:t xml:space="preserve"> </w:t>
      </w:r>
      <w:r>
        <w:t xml:space="preserve">in</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https://github.com/Open-Systems-Pharmacology/Omeprazole-Model/releases/tag/v1.0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The presented PBPK model of omeprazole has been developed to be used in a PBPK Drug-Drug-Interactions (DDI) network with omeprazole as a substrate of CYP2C19 and CYP3A4 and an inhibitor of CYP2C19.</w:t>
      </w:r>
    </w:p>
    <w:p>
      <w:pPr>
        <w:pStyle w:val="BodyText"/>
      </w:pPr>
      <w:r>
        <w:t xml:space="preserve">Omeprazole is a proton pump inhibitor (PPI) for the treatment of gastric acid related diseases. Omeprazole is administered as a racemic mixture of its two enantiomers, S-omeprazole and R-omeprazole.</w:t>
      </w:r>
    </w:p>
    <w:p>
      <w:pPr>
        <w:pStyle w:val="BodyText"/>
      </w:pPr>
      <w:r>
        <w:t xml:space="preserve">The following ADME characteristics for (R-/S-) omeprazole were taken from omeprazole 20 mg capsule</w:t>
      </w:r>
      <w:r>
        <w:t xml:space="preserve"> </w:t>
      </w:r>
      <w:hyperlink w:anchor="Xa559bd5247f9128e74e6edcc17de37648e8cde6">
        <w:r>
          <w:rPr>
            <w:rStyle w:val="Hyperlink"/>
          </w:rPr>
          <w:t xml:space="preserve">FDA SPC</w:t>
        </w:r>
      </w:hyperlink>
      <w:r>
        <w:t xml:space="preserve">:</w:t>
      </w:r>
    </w:p>
    <w:p>
      <w:pPr>
        <w:pStyle w:val="BodyText"/>
      </w:pPr>
      <w:r>
        <w:rPr>
          <w:bCs/>
          <w:b/>
        </w:rPr>
        <w:t xml:space="preserve">Absorption</w:t>
      </w:r>
      <w:r>
        <w:t xml:space="preserve">: Absorption of (R-/S-) omeprazole is rapid, with peak plasma levels occurring approximately 1-2 hours after dose. Absorption of omeprazole takes place in the small intestine and is usually completed within 3-6 hours. The systemic availability (bioavailability) from a single oral dose of omeprazole is approximately 40%. After repeated once-daily administration, the bioavailability increases to about 60%.</w:t>
      </w:r>
    </w:p>
    <w:p>
      <w:pPr>
        <w:pStyle w:val="BodyText"/>
      </w:pPr>
      <w:r>
        <w:rPr>
          <w:bCs/>
          <w:b/>
        </w:rPr>
        <w:t xml:space="preserve">Distribution</w:t>
      </w:r>
      <w:r>
        <w:t xml:space="preserve">: The apparent volume of distribution in healthy subjects is approximately 0.3 l/kg body weight. Omeprazole is 97% plasma protein bound.</w:t>
      </w:r>
    </w:p>
    <w:p>
      <w:pPr>
        <w:pStyle w:val="BodyText"/>
      </w:pPr>
      <w:r>
        <w:rPr>
          <w:bCs/>
          <w:b/>
        </w:rPr>
        <w:t xml:space="preserve">Metabolism</w:t>
      </w:r>
      <w:r>
        <w:t xml:space="preserve">: (R-/S-) Omeprazole is completely metabolized by the cytochrome P450 system (CYP). The major part of its metabolism is dependent on the polymorphically expressed CYP2C19, responsible for the formation of hydroxyomeprazole, the major metabolite in plasma. The remaining part is dependent on another specific isoform, CYP3A4, responsible for the formation of omeprazole sulphone. As a consequence of high affinity of omeprazole to CYP2C19, there is a potential for competitive inhibition and metabolic drug-drug interactions. No metabolite has been found to be pharmacologically active.</w:t>
      </w:r>
    </w:p>
    <w:p>
      <w:pPr>
        <w:pStyle w:val="BodyText"/>
      </w:pPr>
      <w:r>
        <w:rPr>
          <w:bCs/>
          <w:b/>
        </w:rPr>
        <w:t xml:space="preserve">Elimination</w:t>
      </w:r>
      <w:r>
        <w:t xml:space="preserve">: Almost 80% of an oral dose of omeprazole is excreted as metabolites in the urine, the remainder in the faeces, primarily originating from bile secretion.</w:t>
      </w:r>
    </w:p>
    <w:p>
      <w:pPr>
        <w:pStyle w:val="BodyText"/>
      </w:pPr>
      <w:r>
        <w:rPr>
          <w:bCs/>
          <w:b/>
        </w:rPr>
        <w:t xml:space="preserve">Linearity/non-linearity:</w:t>
      </w:r>
      <w:r>
        <w:t xml:space="preserve"> </w:t>
      </w:r>
      <w:r>
        <w:t xml:space="preserve">The AUC of omeprazole increases with repeated administration following a non-linear dose-AUC relationship. This time- and dose- dependency is due to a decrease of first pass metabolism and systemic clearance probably caused by an inhibition of the CYP2C19 enzyme by omeprazole and/or its metabolites (e.g. the sulphone).</w:t>
      </w:r>
    </w:p>
    <w:p>
      <w:pPr>
        <w:pStyle w:val="BodyText"/>
      </w:pPr>
      <w:r>
        <w:rPr>
          <w:bCs/>
          <w:b/>
        </w:rPr>
        <w:t xml:space="preserve">Stereoselectivity:</w:t>
      </w:r>
      <w:r>
        <w:t xml:space="preserve"> </w:t>
      </w:r>
      <w:r>
        <w:t xml:space="preserve">Because both enantiomers are substrates and inhibitors of CYP2C19, the PK profile of each enantiomer is expected to differ when the racemic mixture is administered as compared to as a single agent because of mutual inhibition between the enantiomers (</w:t>
      </w:r>
      <w:hyperlink w:anchor="Xa559bd5247f9128e74e6edcc17de37648e8cde6">
        <w:r>
          <w:rPr>
            <w:rStyle w:val="Hyperlink"/>
          </w:rPr>
          <w:t xml:space="preserve">Äbelö 2000</w:t>
        </w:r>
      </w:hyperlink>
      <w:r>
        <w:t xml:space="preserve">). The Ki for R-omeprazole is 2-5 higher compared to S-omeprazole (</w:t>
      </w:r>
      <w:hyperlink w:anchor="Xa559bd5247f9128e74e6edcc17de37648e8cde6">
        <w:r>
          <w:rPr>
            <w:rStyle w:val="Hyperlink"/>
          </w:rPr>
          <w:t xml:space="preserve">Liu 2005</w:t>
        </w:r>
      </w:hyperlink>
      <w:r>
        <w:t xml:space="preserve">,</w:t>
      </w:r>
      <w:r>
        <w:t xml:space="preserve"> </w:t>
      </w:r>
      <w:hyperlink w:anchor="Xa559bd5247f9128e74e6edcc17de37648e8cde6">
        <w:r>
          <w:rPr>
            <w:rStyle w:val="Hyperlink"/>
          </w:rPr>
          <w:t xml:space="preserve">Wu 2014</w:t>
        </w:r>
      </w:hyperlink>
      <w:r>
        <w:t xml:space="preserve">).</w:t>
      </w:r>
    </w:p>
    <w:bookmarkEnd w:id="20"/>
    <w:bookmarkStart w:id="31"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workflow for building an adult PBPK model has been described by Kuepfer et al. (</w:t>
      </w:r>
      <w:hyperlink w:anchor="Xa559bd5247f9128e74e6edcc17de37648e8cde6">
        <w:r>
          <w:rPr>
            <w:rStyle w:val="Hyperlink"/>
          </w:rPr>
          <w:t xml:space="preserve">Kuepfer 2016</w:t>
        </w:r>
      </w:hyperlink>
      <w:r>
        <w:t xml:space="preserve">). Relevant information on the anthropometry (height, weight) was gathered from the respective clinical study, if reported. Information on physiological parameters (e.g. blood flows, organ volumes, hematocrit) in adults was gathered from the literature and has been incorporated in PK-Sim® as described previously (</w:t>
      </w:r>
      <w:hyperlink w:anchor="Xa559bd5247f9128e74e6edcc17de37648e8cde6">
        <w:r>
          <w:rPr>
            <w:rStyle w:val="Hyperlink"/>
          </w:rPr>
          <w:t xml:space="preserve">Willmann 2007</w:t>
        </w:r>
      </w:hyperlink>
      <w:r>
        <w:t xml:space="preserve">). The applied activity and variability of plasma proteins and active processes that are integrated into PK-Sim® are described in the publicly available</w:t>
      </w:r>
      <w:r>
        <w:t xml:space="preserve"> </w:t>
      </w:r>
      <w:r>
        <w:t xml:space="preserve">‘</w:t>
      </w:r>
      <w:r>
        <w:t xml:space="preserve">PK-Sim® Ontogeny Database Version 7.3</w:t>
      </w:r>
      <w:r>
        <w:t xml:space="preserve">’</w:t>
      </w:r>
      <w:r>
        <w:t xml:space="preserve"> </w:t>
      </w:r>
      <w:r>
        <w:t xml:space="preserve">(</w:t>
      </w:r>
      <w:hyperlink w:anchor="Xa559bd5247f9128e74e6edcc17de37648e8cde6">
        <w:r>
          <w:rPr>
            <w:rStyle w:val="Hyperlink"/>
          </w:rPr>
          <w:t xml:space="preserve">PK-Sim Ontogeny Database Version 7.3</w:t>
        </w:r>
      </w:hyperlink>
      <w:r>
        <w:t xml:space="preserve">).</w:t>
      </w:r>
    </w:p>
    <w:p>
      <w:pPr>
        <w:pStyle w:val="BodyText"/>
      </w:pPr>
      <w:r>
        <w:t xml:space="preserve">The model includes distinct molecules for S- and R-omeprazole, the racemic omeprazole is represented by an observer that sums up the concentrations of S- and R-omeprazole. It was assumed that both isomers correspond to the half of the racemic omeprazole dose.</w:t>
      </w:r>
    </w:p>
    <w:p>
      <w:pPr>
        <w:pStyle w:val="BodyText"/>
      </w:pPr>
      <w:r>
        <w:t xml:space="preserve">In general, the following step-wise workflow was followed:</w:t>
      </w:r>
    </w:p>
    <w:p>
      <w:pPr>
        <w:pStyle w:val="BodyText"/>
      </w:pPr>
      <w:r>
        <w:t xml:space="preserve">1a. Define distribution and metabolism for S-omeprazole</w:t>
      </w:r>
    </w:p>
    <w:p>
      <w:pPr>
        <w:pStyle w:val="BodyText"/>
      </w:pPr>
      <w:r>
        <w:t xml:space="preserve">1b. Mechanism based inactivation of CYP2C19 by omeprazole</w:t>
      </w:r>
    </w:p>
    <w:p>
      <w:pPr>
        <w:numPr>
          <w:ilvl w:val="0"/>
          <w:numId w:val="1001"/>
        </w:numPr>
      </w:pPr>
      <w:r>
        <w:t xml:space="preserve">Define S-omeprazole absorption based on p.o.</w:t>
      </w:r>
    </w:p>
    <w:p>
      <w:pPr>
        <w:numPr>
          <w:ilvl w:val="0"/>
          <w:numId w:val="1001"/>
        </w:numPr>
      </w:pPr>
      <w:r>
        <w:t xml:space="preserve">Capsule formulation</w:t>
      </w:r>
    </w:p>
    <w:p>
      <w:pPr>
        <w:numPr>
          <w:ilvl w:val="0"/>
          <w:numId w:val="1002"/>
        </w:numPr>
      </w:pPr>
      <w:r>
        <w:t xml:space="preserve">3a. Building racemic omeprazole</w:t>
      </w:r>
    </w:p>
    <w:p>
      <w:pPr>
        <w:numPr>
          <w:ilvl w:val="0"/>
          <w:numId w:val="1002"/>
        </w:numPr>
      </w:pPr>
      <w:r>
        <w:t xml:space="preserve">3b. Adjust CYP2C19 expression in gut</w:t>
      </w:r>
    </w:p>
    <w:p>
      <w:pPr>
        <w:numPr>
          <w:ilvl w:val="0"/>
          <w:numId w:val="1003"/>
        </w:numPr>
      </w:pPr>
      <w:r>
        <w:t xml:space="preserve">Define metabolism for R-omeprazole</w:t>
      </w:r>
    </w:p>
    <w:p>
      <w:pPr>
        <w:numPr>
          <w:ilvl w:val="0"/>
          <w:numId w:val="1003"/>
        </w:numPr>
      </w:pPr>
      <w:r>
        <w:t xml:space="preserve">Refine CYP3A4 metabolism on CYP2C19 PM data</w:t>
      </w:r>
    </w:p>
    <w:p>
      <w:pPr>
        <w:numPr>
          <w:ilvl w:val="0"/>
          <w:numId w:val="1003"/>
        </w:numPr>
      </w:pPr>
      <w:r>
        <w:t xml:space="preserve">Refine CYP2C19 metabolism on CYP2C19 EM data</w:t>
      </w:r>
    </w:p>
    <w:p>
      <w:pPr>
        <w:pStyle w:val="FirstParagraph"/>
      </w:pPr>
      <w:r>
        <w:t xml:space="preserve">The predefined</w:t>
      </w:r>
      <w:r>
        <w:t xml:space="preserve"> </w:t>
      </w:r>
      <w:r>
        <w:t xml:space="preserve">“</w:t>
      </w:r>
      <w:r>
        <w:t xml:space="preserve">Standard European Male for DDI</w:t>
      </w:r>
      <w:r>
        <w:t xml:space="preserve">”</w:t>
      </w:r>
      <w:r>
        <w:t xml:space="preserve"> </w:t>
      </w:r>
      <w:r>
        <w:t xml:space="preserve">individual was used (age = 30 y, weight = 73 kg, height = 176 cm, BMI = 23.57 kg/m2) until stated otherwise. CYP2C19 expression from the PK-Sim in-built RT-PCR database was added and adjusted as described in</w:t>
      </w:r>
      <w:r>
        <w:t xml:space="preserve"> </w:t>
      </w:r>
      <w:hyperlink w:anchor="Xec0242f014d4bf7af706d351526850967937744">
        <w:r>
          <w:rPr>
            <w:rStyle w:val="Hyperlink"/>
          </w:rPr>
          <w:t xml:space="preserve">Section 2.3.3</w:t>
        </w:r>
      </w:hyperlink>
      <w:r>
        <w:t xml:space="preserve">.</w:t>
      </w:r>
    </w:p>
    <w:p>
      <w:pPr>
        <w:pStyle w:val="BodyText"/>
      </w:pPr>
      <w:r>
        <w:t xml:space="preserve">Selection of the distribution model for S-omeprazole and estimation of the lipophilicity parameter were performed with i.v. data (</w:t>
      </w:r>
      <w:hyperlink w:anchor="Xa559bd5247f9128e74e6edcc17de37648e8cde6">
        <w:r>
          <w:rPr>
            <w:rStyle w:val="Hyperlink"/>
          </w:rPr>
          <w:t xml:space="preserve">Wilder-Smith 2005</w:t>
        </w:r>
      </w:hyperlink>
      <w:r>
        <w:t xml:space="preserve">,</w:t>
      </w:r>
      <w:r>
        <w:t xml:space="preserve"> </w:t>
      </w:r>
      <w:hyperlink w:anchor="Xa559bd5247f9128e74e6edcc17de37648e8cde6">
        <w:r>
          <w:rPr>
            <w:rStyle w:val="Hyperlink"/>
          </w:rPr>
          <w:t xml:space="preserve">Hassan-Alin 2000</w:t>
        </w:r>
      </w:hyperlink>
      <w:r>
        <w:t xml:space="preserve">).</w:t>
      </w:r>
    </w:p>
    <w:p>
      <w:pPr>
        <w:pStyle w:val="BodyText"/>
      </w:pPr>
      <w:r>
        <w:t xml:space="preserve">The kinetics of CYP2C19 and CYP3A4 metabolization processes of S-omeprazole and R-omeprazole were estimated using the Parameter Identification module provided in PK-Sim® with i.v. and p.o. data including administration of S-, R- or racemic omeprazole, see</w:t>
      </w:r>
      <w:r>
        <w:t xml:space="preserve"> </w:t>
      </w:r>
      <w:hyperlink w:anchor="table-3">
        <w:r>
          <w:rPr>
            <w:rStyle w:val="Hyperlink"/>
          </w:rPr>
          <w:t xml:space="preserve">Table 3</w:t>
        </w:r>
      </w:hyperlink>
      <w:r>
        <w:t xml:space="preserve">,</w:t>
      </w:r>
      <w:r>
        <w:t xml:space="preserve"> </w:t>
      </w:r>
      <w:hyperlink w:anchor="table-4">
        <w:r>
          <w:rPr>
            <w:rStyle w:val="Hyperlink"/>
          </w:rPr>
          <w:t xml:space="preserve">Table 4</w:t>
        </w:r>
      </w:hyperlink>
      <w:r>
        <w:t xml:space="preserve">, and</w:t>
      </w:r>
      <w:r>
        <w:t xml:space="preserve"> </w:t>
      </w:r>
      <w:hyperlink w:anchor="table-5">
        <w:r>
          <w:rPr>
            <w:rStyle w:val="Hyperlink"/>
          </w:rPr>
          <w:t xml:space="preserve">Table 5</w:t>
        </w:r>
      </w:hyperlink>
      <w:r>
        <w:t xml:space="preserve"> </w:t>
      </w:r>
      <w:r>
        <w:t xml:space="preserve">for more details. The kinetic parameters were assumed not to be identical for the isomers. For simulations of CYP2C19 poor metabolizers, the CYP2C19 pathway was switched off.</w:t>
      </w:r>
    </w:p>
    <w:p>
      <w:pPr>
        <w:pStyle w:val="BodyText"/>
      </w:pPr>
      <w:r>
        <w:t xml:space="preserve">For studies in Japanese subjects, a typical Japanese subject (age = 30 y, weight = 61.87 kg, height = 168.99 cm, BMI = 21.67 kg/m2) was created in PK-Sim from predefined database</w:t>
      </w:r>
      <w:r>
        <w:t xml:space="preserve"> </w:t>
      </w:r>
      <w:r>
        <w:t xml:space="preserve">“</w:t>
      </w:r>
      <w:r>
        <w:t xml:space="preserve">Japanese (2015)</w:t>
      </w:r>
      <w:r>
        <w:t xml:space="preserve">”</w:t>
      </w:r>
      <w:r>
        <w:t xml:space="preserve"> </w:t>
      </w:r>
      <w:r>
        <w:t xml:space="preserve">by adding CYP3A4 and CYP2C19 expression from PK-Sim RT PCR database, and adapting CYP2C19 expression in gut as described in</w:t>
      </w:r>
      <w:r>
        <w:t xml:space="preserve"> </w:t>
      </w:r>
      <w:hyperlink w:anchor="Xec0242f014d4bf7af706d351526850967937744">
        <w:r>
          <w:rPr>
            <w:rStyle w:val="Hyperlink"/>
          </w:rPr>
          <w:t xml:space="preserve">Section 2.3.3</w:t>
        </w:r>
      </w:hyperlink>
      <w:r>
        <w:t xml:space="preserve">.</w:t>
      </w:r>
    </w:p>
    <w:p>
      <w:pPr>
        <w:pStyle w:val="BodyText"/>
      </w:pPr>
      <w:r>
        <w:t xml:space="preserve">Intestinal permeability of S-omeprazole was estimated by fitting the model to concentration-time data measured after p.o. administration of 20 or 40 mg given as solution (</w:t>
      </w:r>
      <w:hyperlink w:anchor="Xa559bd5247f9128e74e6edcc17de37648e8cde6">
        <w:r>
          <w:rPr>
            <w:rStyle w:val="Hyperlink"/>
          </w:rPr>
          <w:t xml:space="preserve">Hassan-Alin 2005</w:t>
        </w:r>
      </w:hyperlink>
      <w:r>
        <w:t xml:space="preserve">).</w:t>
      </w:r>
    </w:p>
    <w:p>
      <w:pPr>
        <w:pStyle w:val="BodyText"/>
      </w:pPr>
      <w:r>
        <w:t xml:space="preserve">Parameters</w:t>
      </w:r>
      <w:r>
        <w:t xml:space="preserve"> </w:t>
      </w:r>
      <w:r>
        <w:rPr>
          <w:rStyle w:val="VerbatimChar"/>
        </w:rPr>
        <w:t xml:space="preserve">Dissolution time (50% dissolved)</w:t>
      </w:r>
      <w:r>
        <w:t xml:space="preserve"> </w:t>
      </w:r>
      <w:r>
        <w:t xml:space="preserve">and</w:t>
      </w:r>
      <w:r>
        <w:t xml:space="preserve"> </w:t>
      </w:r>
      <w:r>
        <w:rPr>
          <w:rStyle w:val="VerbatimChar"/>
        </w:rPr>
        <w:t xml:space="preserve">Dissolution shape</w:t>
      </w:r>
      <w:r>
        <w:t xml:space="preserve"> </w:t>
      </w:r>
      <w:r>
        <w:t xml:space="preserve">describing the dissolution of capsule formulation were fitted to the data after single dose S-omeprazole 40 mg capsule (</w:t>
      </w:r>
      <w:hyperlink w:anchor="Xa559bd5247f9128e74e6edcc17de37648e8cde6">
        <w:r>
          <w:rPr>
            <w:rStyle w:val="Hyperlink"/>
          </w:rPr>
          <w:t xml:space="preserve">Wilder-Smith 2005</w:t>
        </w:r>
      </w:hyperlink>
      <w:r>
        <w:t xml:space="preserve">).</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p>
      <w:pPr>
        <w:pStyle w:val="BodyText"/>
      </w:pPr>
      <w:r>
        <w:t xml:space="preserve">Population simulations of single and multiple i.v. or p.o. administration over a wide range of dose levels were conducted to visually compare the predicted concentration-time profile to the observed concentrations reported in the literature, in terms of mean and variability. The simulated populations matched the race (European or Asian) and the age-weight ranges reported in the respective clinical studies. A total of 1000 individuals were generated for studies in males only, while 2000 were generated for mixed gender populations. The concentration time profile was simulated for each virtual subject and summarized as geometric mean and 95% CI. The simulations were performed for extensive and poor CYP2C19 metabolizers.</w:t>
      </w:r>
    </w:p>
    <w:bookmarkEnd w:id="21"/>
    <w:bookmarkStart w:id="24" w:name="data"/>
    <w:p>
      <w:pPr>
        <w:pStyle w:val="Heading2"/>
      </w:pPr>
      <w:r>
        <w:t xml:space="preserve">Data</w:t>
      </w:r>
      <w:bookmarkStart w:id="data" w:name="data"/>
      <w:bookmarkEnd w:id="data"/>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S- and R-omeprazole and summarized in</w:t>
      </w:r>
      <w:r>
        <w:t xml:space="preserve"> </w:t>
      </w:r>
      <w:hyperlink w:anchor="table-1">
        <w:r>
          <w:rPr>
            <w:rStyle w:val="Hyperlink"/>
          </w:rPr>
          <w:t xml:space="preserve">Table 1</w:t>
        </w:r>
      </w:hyperlink>
      <w:r>
        <w:t xml:space="preserve"> </w:t>
      </w:r>
      <w:r>
        <w:t xml:space="preserve">and</w:t>
      </w:r>
      <w:r>
        <w:t xml:space="preserve"> </w:t>
      </w:r>
      <w:hyperlink w:anchor="table-2">
        <w:r>
          <w:rPr>
            <w:rStyle w:val="Hyperlink"/>
          </w:rPr>
          <w:t xml:space="preserve">Table 2</w:t>
        </w:r>
      </w:hyperlink>
      <w:r>
        <w:t xml:space="preserve">, respectively.</w:t>
      </w:r>
    </w:p>
    <w:tbl>
      <w:tblPr>
        <w:tblStyle w:val="Table"/>
        <w:tblW w:type="pct" w:w="5000"/>
        <w:tblLook w:firstRow="1" w:lastRow="0" w:firstColumn="0" w:lastColumn="0" w:noHBand="0" w:noVBand="0" w:val="0020"/>
        <w:jc w:val="start"/>
      </w:tblPr>
      <w:tblGrid>
        <w:gridCol w:w="2469"/>
        <w:gridCol w:w="340"/>
        <w:gridCol w:w="553"/>
        <w:gridCol w:w="2001"/>
        <w:gridCol w:w="2554"/>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r>
              <w:rPr>
                <w:vertAlign w:val="superscript"/>
              </w:rPr>
              <w:t xml:space="preserve">+</w:t>
            </w:r>
          </w:p>
        </w:tc>
        <w:tc>
          <w:tcPr/>
          <w:p>
            <w:pPr>
              <w:pStyle w:val="Compact"/>
              <w:jc w:val="left"/>
            </w:pPr>
            <w:r>
              <w:t xml:space="preserve">g/mol</w:t>
            </w:r>
          </w:p>
        </w:tc>
        <w:tc>
          <w:tcPr/>
          <w:p>
            <w:pPr>
              <w:pStyle w:val="Compact"/>
              <w:jc w:val="left"/>
            </w:pPr>
            <w:r>
              <w:t xml:space="preserve">345.42</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a,acid</w:t>
            </w:r>
            <w:r>
              <w:rPr>
                <w:vertAlign w:val="superscript"/>
              </w:rPr>
              <w:t xml:space="preserve">+</w:t>
            </w:r>
          </w:p>
        </w:tc>
        <w:tc>
          <w:tcPr/>
          <w:p>
            <w:pPr>
              <w:pStyle w:val="Compact"/>
            </w:pPr>
          </w:p>
        </w:tc>
        <w:tc>
          <w:tcPr/>
          <w:p>
            <w:pPr>
              <w:pStyle w:val="Compact"/>
              <w:jc w:val="left"/>
            </w:pPr>
            <w:r>
              <w:t xml:space="preserve">9.29</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Acidic dissociation constant</w:t>
            </w:r>
          </w:p>
        </w:tc>
      </w:tr>
      <w:tr>
        <w:tc>
          <w:tcPr/>
          <w:p>
            <w:pPr>
              <w:pStyle w:val="Compact"/>
              <w:jc w:val="left"/>
            </w:pPr>
            <w:r>
              <w:t xml:space="preserve">pK</w:t>
            </w:r>
            <w:r>
              <w:rPr>
                <w:vertAlign w:val="subscript"/>
              </w:rPr>
              <w:t xml:space="preserve">a,base</w:t>
            </w:r>
            <w:r>
              <w:rPr>
                <w:vertAlign w:val="superscript"/>
              </w:rPr>
              <w:t xml:space="preserve">+</w:t>
            </w:r>
          </w:p>
        </w:tc>
        <w:tc>
          <w:tcPr/>
          <w:p>
            <w:pPr>
              <w:pStyle w:val="Compact"/>
            </w:pPr>
          </w:p>
        </w:tc>
        <w:tc>
          <w:tcPr/>
          <w:p>
            <w:pPr>
              <w:pStyle w:val="Compact"/>
              <w:jc w:val="left"/>
            </w:pPr>
            <w:r>
              <w:t xml:space="preserve">4.77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Basic dissociation constant</w:t>
            </w:r>
          </w:p>
        </w:tc>
      </w:tr>
      <w:tr>
        <w:tc>
          <w:tcPr/>
          <w:p>
            <w:pPr>
              <w:pStyle w:val="Compact"/>
              <w:jc w:val="left"/>
            </w:pPr>
            <w:r>
              <w:t xml:space="preserve">Solubility (pH)</w:t>
            </w:r>
            <w:r>
              <w:rPr>
                <w:vertAlign w:val="superscript"/>
              </w:rPr>
              <w:t xml:space="preserve">+</w:t>
            </w:r>
          </w:p>
        </w:tc>
        <w:tc>
          <w:tcPr/>
          <w:p>
            <w:pPr>
              <w:pStyle w:val="Compact"/>
              <w:jc w:val="left"/>
            </w:pPr>
            <w:r>
              <w:t xml:space="preserve">mg/mL</w:t>
            </w:r>
          </w:p>
        </w:tc>
        <w:tc>
          <w:tcPr/>
          <w:p>
            <w:pPr>
              <w:pStyle w:val="Compact"/>
              <w:jc w:val="left"/>
            </w:pPr>
            <w:r>
              <w:t xml:space="preserve">0.36</w:t>
            </w:r>
            <w:r>
              <w:t xml:space="preserve">(7)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Aqueous Solubility</w:t>
            </w:r>
          </w:p>
        </w:tc>
      </w:tr>
      <w:tr>
        <w:tc>
          <w:tcPr/>
          <w:p>
            <w:pPr>
              <w:pStyle w:val="Compact"/>
              <w:jc w:val="left"/>
            </w:pPr>
            <w:r>
              <w:t xml:space="preserve">logD</w:t>
            </w:r>
          </w:p>
        </w:tc>
        <w:tc>
          <w:tcPr/>
          <w:p>
            <w:pPr>
              <w:pStyle w:val="Compact"/>
            </w:pPr>
          </w:p>
        </w:tc>
        <w:tc>
          <w:tcPr/>
          <w:p>
            <w:pPr>
              <w:pStyle w:val="Compact"/>
              <w:jc w:val="left"/>
            </w:pPr>
            <w:r>
              <w:t xml:space="preserve">2.23</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Distribution coefficient</w:t>
            </w:r>
          </w:p>
        </w:tc>
      </w:tr>
      <w:tr>
        <w:tc>
          <w:tcPr/>
          <w:p>
            <w:pPr>
              <w:pStyle w:val="Compact"/>
              <w:jc w:val="left"/>
            </w:pPr>
            <w:r>
              <w:t xml:space="preserve">fu</w:t>
            </w:r>
            <w:r>
              <w:rPr>
                <w:vertAlign w:val="superscript"/>
              </w:rPr>
              <w:t xml:space="preserve">+</w:t>
            </w:r>
          </w:p>
        </w:tc>
        <w:tc>
          <w:tcPr/>
          <w:p>
            <w:pPr>
              <w:pStyle w:val="Compact"/>
              <w:jc w:val="left"/>
            </w:pPr>
            <w:r>
              <w:t xml:space="preserve">%</w:t>
            </w:r>
          </w:p>
        </w:tc>
        <w:tc>
          <w:tcPr/>
          <w:p>
            <w:pPr>
              <w:pStyle w:val="Compact"/>
              <w:jc w:val="left"/>
            </w:pPr>
            <w:r>
              <w:t xml:space="preserve">3</w:t>
            </w:r>
          </w:p>
        </w:tc>
        <w:tc>
          <w:tcPr/>
          <w:p>
            <w:pPr>
              <w:pStyle w:val="Compact"/>
              <w:jc w:val="left"/>
            </w:pPr>
            <w:hyperlink w:anchor="Xa559bd5247f9128e74e6edcc17de37648e8cde6">
              <w:r>
                <w:rPr>
                  <w:rStyle w:val="Hyperlink"/>
                </w:rPr>
                <w:t xml:space="preserve">Nexium prescribing information</w:t>
              </w:r>
            </w:hyperlink>
          </w:p>
        </w:tc>
        <w:tc>
          <w:tcPr/>
          <w:p>
            <w:pPr>
              <w:pStyle w:val="Compact"/>
              <w:jc w:val="left"/>
            </w:pPr>
            <w:r>
              <w:t xml:space="preserve">Fraction unbound in plasma</w:t>
            </w:r>
          </w:p>
        </w:tc>
      </w:tr>
      <w:tr>
        <w:tc>
          <w:tcPr/>
          <w:p>
            <w:pPr>
              <w:pStyle w:val="Compact"/>
              <w:jc w:val="left"/>
            </w:pPr>
            <w:r>
              <w:t xml:space="preserve">Kinact CYP2C19</w:t>
            </w:r>
            <w:r>
              <w:rPr>
                <w:vertAlign w:val="superscript"/>
              </w:rPr>
              <w:t xml:space="preserve">+</w:t>
            </w:r>
          </w:p>
        </w:tc>
        <w:tc>
          <w:tcPr/>
          <w:p>
            <w:pPr>
              <w:pStyle w:val="Compact"/>
              <w:jc w:val="left"/>
            </w:pPr>
            <w:r>
              <w:t xml:space="preserve">l/h</w:t>
            </w:r>
          </w:p>
        </w:tc>
        <w:tc>
          <w:tcPr/>
          <w:p>
            <w:pPr>
              <w:pStyle w:val="Compact"/>
              <w:jc w:val="left"/>
            </w:pPr>
            <w:r>
              <w:t xml:space="preserve">5</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Kinact of time dependent inhibition on CYP2C19</w:t>
            </w:r>
          </w:p>
        </w:tc>
      </w:tr>
      <w:tr>
        <w:tc>
          <w:tcPr/>
          <w:p>
            <w:pPr>
              <w:pStyle w:val="Compact"/>
              <w:jc w:val="left"/>
            </w:pPr>
            <w:r>
              <w:t xml:space="preserve">K</w:t>
            </w:r>
            <w:r>
              <w:rPr>
                <w:vertAlign w:val="subscript"/>
              </w:rPr>
              <w:t xml:space="preserve">i</w:t>
            </w:r>
            <w:r>
              <w:t xml:space="preserve"> </w:t>
            </w:r>
            <w:r>
              <w:t xml:space="preserve">CYP2C19</w:t>
            </w:r>
            <w:r>
              <w:rPr>
                <w:vertAlign w:val="superscript"/>
              </w:rPr>
              <w:t xml:space="preserve">+</w:t>
            </w:r>
          </w:p>
        </w:tc>
        <w:tc>
          <w:tcPr/>
          <w:p>
            <w:pPr>
              <w:pStyle w:val="Compact"/>
              <w:jc w:val="left"/>
            </w:pPr>
            <w:r>
              <w:t xml:space="preserve">µM</w:t>
            </w:r>
          </w:p>
        </w:tc>
        <w:tc>
          <w:tcPr/>
          <w:p>
            <w:pPr>
              <w:pStyle w:val="Compact"/>
              <w:jc w:val="left"/>
            </w:pPr>
            <w:r>
              <w:t xml:space="preserve">0.3</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 of time dependent inhibition on CYP2C19</w:t>
            </w:r>
          </w:p>
        </w:tc>
      </w:tr>
      <w:tr>
        <w:tc>
          <w:tcPr/>
          <w:p>
            <w:pPr>
              <w:pStyle w:val="Compact"/>
              <w:jc w:val="left"/>
            </w:pPr>
            <w:r>
              <w:t xml:space="preserve">K</w:t>
            </w:r>
            <w:r>
              <w:rPr>
                <w:vertAlign w:val="subscript"/>
              </w:rPr>
              <w:t xml:space="preserve">i</w:t>
            </w:r>
            <w:r>
              <w:t xml:space="preserve"> </w:t>
            </w:r>
            <w:r>
              <w:t xml:space="preserve">CYP2C19 (competitive inhibition)</w:t>
            </w:r>
            <w:r>
              <w:rPr>
                <w:vertAlign w:val="superscript"/>
              </w:rPr>
              <w:t xml:space="preserve">+</w:t>
            </w:r>
          </w:p>
        </w:tc>
        <w:tc>
          <w:tcPr/>
          <w:p>
            <w:pPr>
              <w:pStyle w:val="Compact"/>
              <w:jc w:val="left"/>
            </w:pPr>
            <w:r>
              <w:t xml:space="preserve">µM</w:t>
            </w:r>
          </w:p>
        </w:tc>
        <w:tc>
          <w:tcPr/>
          <w:p>
            <w:pPr>
              <w:pStyle w:val="Compact"/>
              <w:jc w:val="left"/>
            </w:pPr>
            <w:r>
              <w:t xml:space="preserve">3.1</w:t>
            </w:r>
          </w:p>
        </w:tc>
        <w:tc>
          <w:tcPr/>
          <w:p>
            <w:pPr>
              <w:pStyle w:val="Compact"/>
              <w:jc w:val="left"/>
            </w:pPr>
            <w:hyperlink w:anchor="Xa559bd5247f9128e74e6edcc17de37648e8cde6">
              <w:r>
                <w:rPr>
                  <w:rStyle w:val="Hyperlink"/>
                </w:rPr>
                <w:t xml:space="preserve">Liu 2005</w:t>
              </w:r>
            </w:hyperlink>
          </w:p>
        </w:tc>
        <w:tc>
          <w:tcPr/>
          <w:p>
            <w:pPr>
              <w:pStyle w:val="Compact"/>
              <w:jc w:val="left"/>
            </w:pPr>
            <w:r>
              <w:t xml:space="preserve">The total ki value reported by Liu was 3.4 µmol/L and corrected with an fu_mic of 0.92</w:t>
            </w:r>
          </w:p>
        </w:tc>
      </w:tr>
      <w:tr>
        <w:tc>
          <w:tcPr/>
          <w:p>
            <w:pPr>
              <w:pStyle w:val="Compact"/>
              <w:jc w:val="left"/>
            </w:pPr>
            <w:r>
              <w:t xml:space="preserve">Renal Elimination</w:t>
            </w:r>
            <w:r>
              <w:rPr>
                <w:vertAlign w:val="superscript"/>
              </w:rPr>
              <w:t xml:space="preserve">+</w:t>
            </w:r>
          </w:p>
        </w:tc>
        <w:tc>
          <w:tcPr/>
          <w:p>
            <w:pPr>
              <w:pStyle w:val="Compact"/>
              <w:jc w:val="left"/>
            </w:pPr>
            <w:r>
              <w:t xml:space="preserve">l/h</w:t>
            </w:r>
          </w:p>
        </w:tc>
        <w:tc>
          <w:tcPr/>
          <w:p>
            <w:pPr>
              <w:pStyle w:val="Compact"/>
              <w:jc w:val="left"/>
            </w:pPr>
            <w:r>
              <w:t xml:space="preserve">0.037</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Assumed same as omeprazole</w:t>
            </w:r>
          </w:p>
        </w:tc>
      </w:tr>
    </w:tbl>
    <w:p>
      <w:pPr>
        <w:pStyle w:val="BodyText"/>
      </w:pPr>
      <w:r>
        <w:rPr>
          <w:bCs/>
          <w:b/>
        </w:rPr>
        <w:t xml:space="preserve">Table 1:</w:t>
      </w:r>
      <w:r>
        <w:t xml:space="preserve"> </w:t>
      </w:r>
      <w:r>
        <w:t xml:space="preserve">Physico-chemical and</w:t>
      </w:r>
      <w:r>
        <w:t xml:space="preserve"> </w:t>
      </w:r>
      <w:r>
        <w:rPr>
          <w:iCs/>
          <w:i/>
        </w:rPr>
        <w:t xml:space="preserve">in-vitro</w:t>
      </w:r>
      <w:r>
        <w:t xml:space="preserve"> </w:t>
      </w:r>
      <w:r>
        <w:t xml:space="preserve">metabolization properties of S-omeprazole extracted from literature.</w:t>
      </w:r>
      <w:r>
        <w:t xml:space="preserve"> </w:t>
      </w:r>
      <w:r>
        <w:rPr>
          <w:vertAlign w:val="superscript"/>
          <w:iCs/>
          <w:i/>
        </w:rPr>
        <w:t xml:space="preserve">+</w:t>
      </w:r>
      <w:r>
        <w:rPr>
          <w:iCs/>
          <w:i/>
        </w:rPr>
        <w:t xml:space="preserve">: Value used in final model</w:t>
      </w:r>
      <w:bookmarkStart w:id="table-1" w:name="table-1"/>
      <w:bookmarkEnd w:id="table-1"/>
    </w:p>
    <w:tbl>
      <w:tblPr>
        <w:tblStyle w:val="Table"/>
        <w:tblW w:type="pct" w:w="5000"/>
        <w:tblLook w:firstRow="1" w:lastRow="0" w:firstColumn="0" w:lastColumn="0" w:noHBand="0" w:noVBand="0" w:val="0020"/>
        <w:jc w:val="start"/>
      </w:tblPr>
      <w:tblGrid>
        <w:gridCol w:w="2670"/>
        <w:gridCol w:w="368"/>
        <w:gridCol w:w="598"/>
        <w:gridCol w:w="1519"/>
        <w:gridCol w:w="2762"/>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r>
              <w:rPr>
                <w:vertAlign w:val="superscript"/>
              </w:rPr>
              <w:t xml:space="preserve">+</w:t>
            </w:r>
          </w:p>
        </w:tc>
        <w:tc>
          <w:tcPr/>
          <w:p>
            <w:pPr>
              <w:pStyle w:val="Compact"/>
              <w:jc w:val="left"/>
            </w:pPr>
            <w:r>
              <w:t xml:space="preserve">g/mol</w:t>
            </w:r>
          </w:p>
        </w:tc>
        <w:tc>
          <w:tcPr/>
          <w:p>
            <w:pPr>
              <w:pStyle w:val="Compact"/>
              <w:jc w:val="left"/>
            </w:pPr>
            <w:r>
              <w:t xml:space="preserve">345.42</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a,acid</w:t>
            </w:r>
            <w:r>
              <w:rPr>
                <w:vertAlign w:val="superscript"/>
              </w:rPr>
              <w:t xml:space="preserve">+</w:t>
            </w:r>
          </w:p>
        </w:tc>
        <w:tc>
          <w:tcPr/>
          <w:p>
            <w:pPr>
              <w:pStyle w:val="Compact"/>
            </w:pPr>
          </w:p>
        </w:tc>
        <w:tc>
          <w:tcPr/>
          <w:p>
            <w:pPr>
              <w:pStyle w:val="Compact"/>
              <w:jc w:val="left"/>
            </w:pPr>
            <w:r>
              <w:t xml:space="preserve">9.29</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Acidic dissociation constant</w:t>
            </w:r>
          </w:p>
        </w:tc>
      </w:tr>
      <w:tr>
        <w:tc>
          <w:tcPr/>
          <w:p>
            <w:pPr>
              <w:pStyle w:val="Compact"/>
              <w:jc w:val="left"/>
            </w:pPr>
            <w:r>
              <w:t xml:space="preserve">pK</w:t>
            </w:r>
            <w:r>
              <w:rPr>
                <w:vertAlign w:val="subscript"/>
              </w:rPr>
              <w:t xml:space="preserve">a,base</w:t>
            </w:r>
            <w:r>
              <w:rPr>
                <w:vertAlign w:val="superscript"/>
              </w:rPr>
              <w:t xml:space="preserve">+</w:t>
            </w:r>
          </w:p>
        </w:tc>
        <w:tc>
          <w:tcPr/>
          <w:p>
            <w:pPr>
              <w:pStyle w:val="Compact"/>
            </w:pPr>
          </w:p>
        </w:tc>
        <w:tc>
          <w:tcPr/>
          <w:p>
            <w:pPr>
              <w:pStyle w:val="Compact"/>
              <w:jc w:val="left"/>
            </w:pPr>
            <w:r>
              <w:t xml:space="preserve">4.77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Basic dissociation constant</w:t>
            </w:r>
          </w:p>
        </w:tc>
      </w:tr>
      <w:tr>
        <w:tc>
          <w:tcPr/>
          <w:p>
            <w:pPr>
              <w:pStyle w:val="Compact"/>
              <w:jc w:val="left"/>
            </w:pPr>
            <w:r>
              <w:t xml:space="preserve">Solubility (pH)</w:t>
            </w:r>
            <w:r>
              <w:rPr>
                <w:vertAlign w:val="superscript"/>
              </w:rPr>
              <w:t xml:space="preserve">+</w:t>
            </w:r>
          </w:p>
        </w:tc>
        <w:tc>
          <w:tcPr/>
          <w:p>
            <w:pPr>
              <w:pStyle w:val="Compact"/>
              <w:jc w:val="left"/>
            </w:pPr>
            <w:r>
              <w:t xml:space="preserve">mg/mL</w:t>
            </w:r>
          </w:p>
        </w:tc>
        <w:tc>
          <w:tcPr/>
          <w:p>
            <w:pPr>
              <w:pStyle w:val="Compact"/>
              <w:jc w:val="left"/>
            </w:pPr>
            <w:r>
              <w:t xml:space="preserve">0.36</w:t>
            </w:r>
            <w:r>
              <w:t xml:space="preserve">(7)</w:t>
            </w:r>
          </w:p>
        </w:tc>
        <w:tc>
          <w:tcPr/>
          <w:p>
            <w:pPr>
              <w:pStyle w:val="Compact"/>
              <w:jc w:val="left"/>
            </w:pPr>
            <w:hyperlink w:anchor="Xa559bd5247f9128e74e6edcc17de37648e8cde6">
              <w:r>
                <w:rPr>
                  <w:rStyle w:val="Hyperlink"/>
                </w:rPr>
                <w:t xml:space="preserve">DrugBank DB00338</w:t>
              </w:r>
            </w:hyperlink>
          </w:p>
        </w:tc>
        <w:tc>
          <w:tcPr/>
          <w:p>
            <w:pPr>
              <w:pStyle w:val="Compact"/>
              <w:jc w:val="left"/>
            </w:pPr>
            <w:r>
              <w:t xml:space="preserve">Aqueous Solubility</w:t>
            </w:r>
          </w:p>
        </w:tc>
      </w:tr>
      <w:tr>
        <w:tc>
          <w:tcPr/>
          <w:p>
            <w:pPr>
              <w:pStyle w:val="Compact"/>
              <w:jc w:val="left"/>
            </w:pPr>
            <w:r>
              <w:t xml:space="preserve">logD</w:t>
            </w:r>
          </w:p>
        </w:tc>
        <w:tc>
          <w:tcPr/>
          <w:p>
            <w:pPr>
              <w:pStyle w:val="Compact"/>
            </w:pPr>
          </w:p>
        </w:tc>
        <w:tc>
          <w:tcPr/>
          <w:p>
            <w:pPr>
              <w:pStyle w:val="Compact"/>
              <w:jc w:val="left"/>
            </w:pPr>
            <w:r>
              <w:t xml:space="preserve">2.23</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Distribution coefficient</w:t>
            </w:r>
          </w:p>
        </w:tc>
      </w:tr>
      <w:tr>
        <w:tc>
          <w:tcPr/>
          <w:p>
            <w:pPr>
              <w:pStyle w:val="Compact"/>
              <w:jc w:val="left"/>
            </w:pPr>
            <w:r>
              <w:t xml:space="preserve">fu</w:t>
            </w:r>
            <w:r>
              <w:rPr>
                <w:vertAlign w:val="superscript"/>
              </w:rPr>
              <w:t xml:space="preserve">+</w:t>
            </w:r>
          </w:p>
        </w:tc>
        <w:tc>
          <w:tcPr/>
          <w:p>
            <w:pPr>
              <w:pStyle w:val="Compact"/>
              <w:jc w:val="left"/>
            </w:pPr>
            <w:r>
              <w:t xml:space="preserve">%</w:t>
            </w:r>
          </w:p>
        </w:tc>
        <w:tc>
          <w:tcPr/>
          <w:p>
            <w:pPr>
              <w:pStyle w:val="Compact"/>
              <w:jc w:val="left"/>
            </w:pPr>
            <w:r>
              <w:t xml:space="preserve">4</w:t>
            </w:r>
          </w:p>
        </w:tc>
        <w:tc>
          <w:tcPr/>
          <w:p>
            <w:pPr>
              <w:pStyle w:val="Compact"/>
              <w:jc w:val="left"/>
            </w:pPr>
            <w:hyperlink w:anchor="Xa559bd5247f9128e74e6edcc17de37648e8cde6">
              <w:r>
                <w:rPr>
                  <w:rStyle w:val="Hyperlink"/>
                </w:rPr>
                <w:t xml:space="preserve">Ogilvie 2011</w:t>
              </w:r>
            </w:hyperlink>
          </w:p>
        </w:tc>
        <w:tc>
          <w:tcPr/>
          <w:p>
            <w:pPr>
              <w:pStyle w:val="Compact"/>
              <w:jc w:val="left"/>
            </w:pPr>
            <w:r>
              <w:t xml:space="preserve">Fraction unbound in plasma; assumed same as omeprazole</w:t>
            </w:r>
          </w:p>
        </w:tc>
      </w:tr>
      <w:tr>
        <w:tc>
          <w:tcPr/>
          <w:p>
            <w:pPr>
              <w:pStyle w:val="Compact"/>
              <w:jc w:val="left"/>
            </w:pPr>
            <w:r>
              <w:t xml:space="preserve">Kinact CYP2C19</w:t>
            </w:r>
            <w:r>
              <w:rPr>
                <w:vertAlign w:val="superscript"/>
              </w:rPr>
              <w:t xml:space="preserve">+</w:t>
            </w:r>
          </w:p>
        </w:tc>
        <w:tc>
          <w:tcPr/>
          <w:p>
            <w:pPr>
              <w:pStyle w:val="Compact"/>
              <w:jc w:val="left"/>
            </w:pPr>
            <w:r>
              <w:t xml:space="preserve">l/h</w:t>
            </w:r>
          </w:p>
        </w:tc>
        <w:tc>
          <w:tcPr/>
          <w:p>
            <w:pPr>
              <w:pStyle w:val="Compact"/>
              <w:jc w:val="left"/>
            </w:pPr>
            <w:r>
              <w:t xml:space="preserve">4</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Kinact of time dependent inhibition on CYP2C19</w:t>
            </w:r>
          </w:p>
        </w:tc>
      </w:tr>
      <w:tr>
        <w:tc>
          <w:tcPr/>
          <w:p>
            <w:pPr>
              <w:pStyle w:val="Compact"/>
              <w:jc w:val="left"/>
            </w:pPr>
            <w:r>
              <w:t xml:space="preserve">K</w:t>
            </w:r>
            <w:r>
              <w:rPr>
                <w:vertAlign w:val="subscript"/>
              </w:rPr>
              <w:t xml:space="preserve">i</w:t>
            </w:r>
            <w:r>
              <w:t xml:space="preserve"> </w:t>
            </w:r>
            <w:r>
              <w:t xml:space="preserve">CYP2C19</w:t>
            </w:r>
            <w:r>
              <w:rPr>
                <w:vertAlign w:val="superscript"/>
              </w:rPr>
              <w:t xml:space="preserve">+</w:t>
            </w:r>
          </w:p>
        </w:tc>
        <w:tc>
          <w:tcPr/>
          <w:p>
            <w:pPr>
              <w:pStyle w:val="Compact"/>
              <w:jc w:val="left"/>
            </w:pPr>
            <w:r>
              <w:t xml:space="preserve">µM</w:t>
            </w:r>
          </w:p>
        </w:tc>
        <w:tc>
          <w:tcPr/>
          <w:p>
            <w:pPr>
              <w:pStyle w:val="Compact"/>
              <w:jc w:val="left"/>
            </w:pPr>
            <w:r>
              <w:t xml:space="preserve">1.6</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KI of time dependent inhibition on CYP2C19</w:t>
            </w:r>
          </w:p>
        </w:tc>
      </w:tr>
      <w:tr>
        <w:tc>
          <w:tcPr/>
          <w:p>
            <w:pPr>
              <w:pStyle w:val="Compact"/>
              <w:jc w:val="left"/>
            </w:pPr>
            <w:r>
              <w:t xml:space="preserve">K</w:t>
            </w:r>
            <w:r>
              <w:rPr>
                <w:vertAlign w:val="subscript"/>
              </w:rPr>
              <w:t xml:space="preserve">i</w:t>
            </w:r>
            <w:r>
              <w:t xml:space="preserve"> </w:t>
            </w:r>
            <w:r>
              <w:t xml:space="preserve">CYP2C19 (competitive inhibition)</w:t>
            </w:r>
            <w:r>
              <w:rPr>
                <w:vertAlign w:val="superscript"/>
              </w:rPr>
              <w:t xml:space="preserve">+</w:t>
            </w:r>
          </w:p>
        </w:tc>
        <w:tc>
          <w:tcPr/>
          <w:p>
            <w:pPr>
              <w:pStyle w:val="Compact"/>
              <w:jc w:val="left"/>
            </w:pPr>
            <w:r>
              <w:t xml:space="preserve">µM</w:t>
            </w:r>
          </w:p>
        </w:tc>
        <w:tc>
          <w:tcPr/>
          <w:p>
            <w:pPr>
              <w:pStyle w:val="Compact"/>
              <w:jc w:val="left"/>
            </w:pPr>
            <w:r>
              <w:t xml:space="preserve">5.3</w:t>
            </w:r>
          </w:p>
        </w:tc>
        <w:tc>
          <w:tcPr/>
          <w:p>
            <w:pPr>
              <w:pStyle w:val="Compact"/>
              <w:jc w:val="left"/>
            </w:pPr>
            <w:hyperlink w:anchor="Xa559bd5247f9128e74e6edcc17de37648e8cde6">
              <w:r>
                <w:rPr>
                  <w:rStyle w:val="Hyperlink"/>
                </w:rPr>
                <w:t xml:space="preserve">Liu 2005</w:t>
              </w:r>
            </w:hyperlink>
          </w:p>
        </w:tc>
        <w:tc>
          <w:tcPr/>
          <w:p>
            <w:pPr>
              <w:pStyle w:val="Compact"/>
              <w:jc w:val="left"/>
            </w:pPr>
            <w:r>
              <w:t xml:space="preserve">The total ki value reported by Liu was 5.7 µmol/L and corrected with an fu_mic of 0.92</w:t>
            </w:r>
          </w:p>
        </w:tc>
      </w:tr>
      <w:tr>
        <w:tc>
          <w:tcPr/>
          <w:p>
            <w:pPr>
              <w:pStyle w:val="Compact"/>
              <w:jc w:val="left"/>
            </w:pPr>
            <w:r>
              <w:t xml:space="preserve">Renal Elimination</w:t>
            </w:r>
            <w:r>
              <w:rPr>
                <w:vertAlign w:val="superscript"/>
              </w:rPr>
              <w:t xml:space="preserve">+</w:t>
            </w:r>
          </w:p>
        </w:tc>
        <w:tc>
          <w:tcPr/>
          <w:p>
            <w:pPr>
              <w:pStyle w:val="Compact"/>
              <w:jc w:val="left"/>
            </w:pPr>
            <w:r>
              <w:t xml:space="preserve">l/h</w:t>
            </w:r>
          </w:p>
        </w:tc>
        <w:tc>
          <w:tcPr/>
          <w:p>
            <w:pPr>
              <w:pStyle w:val="Compact"/>
              <w:jc w:val="left"/>
            </w:pPr>
            <w:r>
              <w:t xml:space="preserve">0.037</w:t>
            </w:r>
          </w:p>
        </w:tc>
        <w:tc>
          <w:tcPr/>
          <w:p>
            <w:pPr>
              <w:pStyle w:val="Compact"/>
              <w:jc w:val="left"/>
            </w:pPr>
            <w:hyperlink w:anchor="Xa559bd5247f9128e74e6edcc17de37648e8cde6">
              <w:r>
                <w:rPr>
                  <w:rStyle w:val="Hyperlink"/>
                </w:rPr>
                <w:t xml:space="preserve">Wu 2014</w:t>
              </w:r>
            </w:hyperlink>
          </w:p>
        </w:tc>
        <w:tc>
          <w:tcPr/>
          <w:p>
            <w:pPr>
              <w:pStyle w:val="Compact"/>
              <w:jc w:val="left"/>
            </w:pPr>
            <w:r>
              <w:t xml:space="preserve">Assumed same as omeprazole</w:t>
            </w:r>
          </w:p>
        </w:tc>
      </w:tr>
    </w:tbl>
    <w:p>
      <w:pPr>
        <w:pStyle w:val="BodyText"/>
      </w:pPr>
      <w:r>
        <w:rPr>
          <w:bCs/>
          <w:b/>
        </w:rPr>
        <w:t xml:space="preserve">Table 2:</w:t>
      </w:r>
      <w:r>
        <w:t xml:space="preserve"> </w:t>
      </w:r>
      <w:r>
        <w:t xml:space="preserve">Physico-chemical and</w:t>
      </w:r>
      <w:r>
        <w:t xml:space="preserve"> </w:t>
      </w:r>
      <w:r>
        <w:rPr>
          <w:iCs/>
          <w:i/>
        </w:rPr>
        <w:t xml:space="preserve">in-vitro</w:t>
      </w:r>
      <w:r>
        <w:t xml:space="preserve"> </w:t>
      </w:r>
      <w:r>
        <w:t xml:space="preserve">metabolization properties of R-omeprazole extracted from literature.</w:t>
      </w:r>
      <w:r>
        <w:t xml:space="preserve"> </w:t>
      </w:r>
      <w:r>
        <w:rPr>
          <w:vertAlign w:val="superscript"/>
          <w:iCs/>
          <w:i/>
        </w:rPr>
        <w:t xml:space="preserve">+</w:t>
      </w:r>
      <w:r>
        <w:rPr>
          <w:iCs/>
          <w:i/>
        </w:rPr>
        <w:t xml:space="preserve">: Value used in final model</w:t>
      </w:r>
      <w:bookmarkStart w:id="table-2" w:name="table-2"/>
      <w:bookmarkEnd w:id="table-2"/>
    </w:p>
    <w:bookmarkEnd w:id="22"/>
    <w:bookmarkStart w:id="23" w:name="clinical-data"/>
    <w:p>
      <w:pPr>
        <w:pStyle w:val="Heading3"/>
      </w:pPr>
      <w:r>
        <w:t xml:space="preserve">2.2.2 Clinical data</w:t>
      </w:r>
    </w:p>
    <w:p>
      <w:pPr>
        <w:pStyle w:val="FirstParagraph"/>
      </w:pPr>
      <w:r>
        <w:t xml:space="preserve">A literature search was performed to collect available clinical data on omeprazole in adults. Data used for model development and validation for omeprazole, S-omeprazole, and R-omeprazole are listed in</w:t>
      </w:r>
      <w:r>
        <w:t xml:space="preserve"> </w:t>
      </w:r>
      <w:hyperlink w:anchor="table-3">
        <w:r>
          <w:rPr>
            <w:rStyle w:val="Hyperlink"/>
          </w:rPr>
          <w:t xml:space="preserve">Table 3</w:t>
        </w:r>
      </w:hyperlink>
      <w:r>
        <w:t xml:space="preserve">,</w:t>
      </w:r>
      <w:r>
        <w:t xml:space="preserve"> </w:t>
      </w:r>
      <w:hyperlink w:anchor="table-4">
        <w:r>
          <w:rPr>
            <w:rStyle w:val="Hyperlink"/>
          </w:rPr>
          <w:t xml:space="preserve">Table 4</w:t>
        </w:r>
      </w:hyperlink>
      <w:r>
        <w:t xml:space="preserve">, and</w:t>
      </w:r>
      <w:r>
        <w:t xml:space="preserve"> </w:t>
      </w:r>
      <w:hyperlink w:anchor="table-5">
        <w:r>
          <w:rPr>
            <w:rStyle w:val="Hyperlink"/>
          </w:rPr>
          <w:t xml:space="preserve">Table 5</w:t>
        </w:r>
      </w:hyperlink>
      <w:r>
        <w:t xml:space="preserve">, respectively.</w:t>
      </w:r>
    </w:p>
    <w:tbl>
      <w:tblPr>
        <w:tblStyle w:val="Table"/>
        <w:tblW w:type="pct" w:w="5000"/>
        <w:tblLook w:firstRow="1" w:lastRow="0" w:firstColumn="0" w:lastColumn="0" w:noHBand="0" w:noVBand="0" w:val="0020"/>
        <w:jc w:val="start"/>
      </w:tblPr>
      <w:tblGrid>
        <w:gridCol w:w="1257"/>
        <w:gridCol w:w="565"/>
        <w:gridCol w:w="1948"/>
        <w:gridCol w:w="754"/>
        <w:gridCol w:w="440"/>
        <w:gridCol w:w="314"/>
        <w:gridCol w:w="565"/>
        <w:gridCol w:w="2074"/>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Andersson 1990</w:t>
              </w:r>
            </w:hyperlink>
            <w:r>
              <w:rPr>
                <w:vertAlign w:val="superscript"/>
              </w:rPr>
              <w:t xml:space="preserve">+</w:t>
            </w:r>
          </w:p>
        </w:tc>
        <w:tc>
          <w:tcPr/>
          <w:p>
            <w:pPr>
              <w:pStyle w:val="Compact"/>
              <w:jc w:val="left"/>
            </w:pPr>
            <w:r>
              <w:t xml:space="preserve">i.v.</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10</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1990</w:t>
              </w:r>
            </w:hyperlink>
          </w:p>
        </w:tc>
        <w:tc>
          <w:tcPr/>
          <w:p>
            <w:pPr>
              <w:pStyle w:val="Compact"/>
              <w:jc w:val="left"/>
            </w:pPr>
            <w:r>
              <w:t xml:space="preserve">p.o.</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10</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Andersson 1991</w:t>
              </w:r>
            </w:hyperlink>
          </w:p>
        </w:tc>
        <w:tc>
          <w:tcPr/>
          <w:p>
            <w:pPr>
              <w:pStyle w:val="Compact"/>
              <w:jc w:val="left"/>
            </w:pPr>
            <w:r>
              <w:t xml:space="preserve">p.o.</w:t>
            </w:r>
          </w:p>
        </w:tc>
        <w:tc>
          <w:tcPr/>
          <w:p>
            <w:pPr>
              <w:pStyle w:val="Compact"/>
              <w:jc w:val="left"/>
            </w:pPr>
            <w:r>
              <w:t xml:space="preserve">10 - 20 – 40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e.c. granules</w:t>
            </w:r>
          </w:p>
        </w:tc>
        <w:tc>
          <w:tcPr/>
          <w:p>
            <w:pPr>
              <w:pStyle w:val="Compact"/>
            </w:pPr>
          </w:p>
        </w:tc>
      </w:tr>
      <w:tr>
        <w:tc>
          <w:tcPr/>
          <w:p>
            <w:pPr>
              <w:pStyle w:val="Compact"/>
              <w:jc w:val="left"/>
            </w:pPr>
            <w:hyperlink w:anchor="Xa559bd5247f9128e74e6edcc17de37648e8cde6">
              <w:r>
                <w:rPr>
                  <w:rStyle w:val="Hyperlink"/>
                </w:rPr>
                <w:t xml:space="preserve">Andersson 1991</w:t>
              </w:r>
            </w:hyperlink>
            <w:r>
              <w:rPr>
                <w:vertAlign w:val="superscript"/>
              </w:rPr>
              <w:t xml:space="preserve">+</w:t>
            </w:r>
          </w:p>
        </w:tc>
        <w:tc>
          <w:tcPr/>
          <w:p>
            <w:pPr>
              <w:pStyle w:val="Compact"/>
              <w:jc w:val="left"/>
            </w:pPr>
            <w:r>
              <w:t xml:space="preserve">i.v.</w:t>
            </w:r>
          </w:p>
        </w:tc>
        <w:tc>
          <w:tcPr/>
          <w:p>
            <w:pPr>
              <w:pStyle w:val="Compact"/>
              <w:jc w:val="left"/>
            </w:pPr>
            <w:r>
              <w:t xml:space="preserve">10 - 20 - 40</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1998</w:t>
              </w:r>
            </w:hyperlink>
          </w:p>
        </w:tc>
        <w:tc>
          <w:tcPr/>
          <w:p>
            <w:pPr>
              <w:pStyle w:val="Compact"/>
              <w:jc w:val="left"/>
            </w:pPr>
            <w:r>
              <w:t xml:space="preserve">p.o.</w:t>
            </w:r>
          </w:p>
        </w:tc>
        <w:tc>
          <w:tcPr/>
          <w:p>
            <w:pPr>
              <w:pStyle w:val="Compact"/>
              <w:jc w:val="left"/>
            </w:pPr>
            <w:r>
              <w:t xml:space="preserve">20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12</w:t>
            </w:r>
          </w:p>
        </w:tc>
        <w:tc>
          <w:tcPr/>
          <w:p>
            <w:pPr>
              <w:pStyle w:val="Compact"/>
              <w:jc w:val="left"/>
            </w:pPr>
            <w:r>
              <w:t xml:space="preserve">capsule</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1998</w:t>
              </w:r>
            </w:hyperlink>
          </w:p>
        </w:tc>
        <w:tc>
          <w:tcPr/>
          <w:p>
            <w:pPr>
              <w:pStyle w:val="Compact"/>
              <w:jc w:val="left"/>
            </w:pPr>
            <w:r>
              <w:t xml:space="preserve">p.o.</w:t>
            </w:r>
          </w:p>
        </w:tc>
        <w:tc>
          <w:tcPr/>
          <w:p>
            <w:pPr>
              <w:pStyle w:val="Compact"/>
              <w:jc w:val="left"/>
            </w:pPr>
            <w:r>
              <w:t xml:space="preserve">20 q.d.</w:t>
            </w:r>
          </w:p>
        </w:tc>
        <w:tc>
          <w:tcPr/>
          <w:p>
            <w:pPr>
              <w:pStyle w:val="Compact"/>
              <w:jc w:val="left"/>
            </w:pPr>
            <w:r>
              <w:t xml:space="preserve">HV</w:t>
            </w:r>
          </w:p>
        </w:tc>
        <w:tc>
          <w:tcPr/>
          <w:p>
            <w:pPr>
              <w:pStyle w:val="Compact"/>
              <w:jc w:val="left"/>
            </w:pPr>
            <w:r>
              <w:t xml:space="preserve">M</w:t>
            </w:r>
          </w:p>
        </w:tc>
        <w:tc>
          <w:tcPr/>
          <w:p>
            <w:pPr>
              <w:pStyle w:val="Compact"/>
              <w:jc w:val="left"/>
            </w:pPr>
            <w:r>
              <w:t xml:space="preserve">2</w:t>
            </w:r>
          </w:p>
        </w:tc>
        <w:tc>
          <w:tcPr/>
          <w:p>
            <w:pPr>
              <w:pStyle w:val="Compact"/>
              <w:jc w:val="left"/>
            </w:pPr>
            <w:r>
              <w:t xml:space="preserve">capsule</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Oosterhuis 1992</w:t>
              </w:r>
            </w:hyperlink>
            <w:r>
              <w:rPr>
                <w:vertAlign w:val="superscript"/>
              </w:rPr>
              <w:t xml:space="preserve">+</w:t>
            </w:r>
          </w:p>
        </w:tc>
        <w:tc>
          <w:tcPr/>
          <w:p>
            <w:pPr>
              <w:pStyle w:val="Compact"/>
              <w:jc w:val="left"/>
            </w:pPr>
            <w:r>
              <w:t xml:space="preserve">i.v.</w:t>
            </w:r>
          </w:p>
        </w:tc>
        <w:tc>
          <w:tcPr/>
          <w:p>
            <w:pPr>
              <w:pStyle w:val="Compact"/>
              <w:jc w:val="left"/>
            </w:pPr>
            <w:r>
              <w:t xml:space="preserve">40 - 80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Uno 2007</w:t>
              </w:r>
            </w:hyperlink>
            <w:r>
              <w:rPr>
                <w:vertAlign w:val="superscript"/>
              </w:rPr>
              <w:t xml:space="preserve">+</w:t>
            </w:r>
          </w:p>
        </w:tc>
        <w:tc>
          <w:tcPr/>
          <w:p>
            <w:pPr>
              <w:pStyle w:val="Compact"/>
              <w:jc w:val="left"/>
            </w:pPr>
            <w:r>
              <w:t xml:space="preserve">i.v.</w:t>
            </w:r>
          </w:p>
        </w:tc>
        <w:tc>
          <w:tcPr/>
          <w:p>
            <w:pPr>
              <w:pStyle w:val="Compact"/>
              <w:jc w:val="left"/>
            </w:pPr>
            <w:r>
              <w:t xml:space="preserve">20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solution</w:t>
            </w:r>
          </w:p>
        </w:tc>
        <w:tc>
          <w:tcPr/>
          <w:p>
            <w:pPr>
              <w:pStyle w:val="Compact"/>
              <w:jc w:val="left"/>
            </w:pPr>
            <w:r>
              <w:t xml:space="preserve">hmEM</w:t>
            </w:r>
          </w:p>
        </w:tc>
      </w:tr>
      <w:tr>
        <w:tc>
          <w:tcPr/>
          <w:p>
            <w:pPr>
              <w:pStyle w:val="Compact"/>
              <w:jc w:val="left"/>
            </w:pPr>
            <w:hyperlink w:anchor="Xa559bd5247f9128e74e6edcc17de37648e8cde6">
              <w:r>
                <w:rPr>
                  <w:rStyle w:val="Hyperlink"/>
                </w:rPr>
                <w:t xml:space="preserve">Uno 2007</w:t>
              </w:r>
            </w:hyperlink>
            <w:r>
              <w:rPr>
                <w:vertAlign w:val="superscript"/>
              </w:rPr>
              <w:t xml:space="preserve">+</w:t>
            </w:r>
          </w:p>
        </w:tc>
        <w:tc>
          <w:tcPr/>
          <w:p>
            <w:pPr>
              <w:pStyle w:val="Compact"/>
              <w:jc w:val="left"/>
            </w:pPr>
            <w:r>
              <w:t xml:space="preserve">i.v.</w:t>
            </w:r>
          </w:p>
        </w:tc>
        <w:tc>
          <w:tcPr/>
          <w:p>
            <w:pPr>
              <w:pStyle w:val="Compact"/>
              <w:jc w:val="left"/>
            </w:pPr>
            <w:r>
              <w:t xml:space="preserve">20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Uno 2007</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tablet</w:t>
            </w:r>
          </w:p>
        </w:tc>
        <w:tc>
          <w:tcPr/>
          <w:p>
            <w:pPr>
              <w:pStyle w:val="Compact"/>
              <w:jc w:val="left"/>
            </w:pPr>
            <w:r>
              <w:t xml:space="preserve">hmEM</w:t>
            </w:r>
          </w:p>
        </w:tc>
      </w:tr>
      <w:tr>
        <w:tc>
          <w:tcPr/>
          <w:p>
            <w:pPr>
              <w:pStyle w:val="Compact"/>
              <w:jc w:val="left"/>
            </w:pPr>
            <w:hyperlink w:anchor="Xa559bd5247f9128e74e6edcc17de37648e8cde6">
              <w:r>
                <w:rPr>
                  <w:rStyle w:val="Hyperlink"/>
                </w:rPr>
                <w:t xml:space="preserve">Uno 2007</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tablet</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Regårdh 1990</w:t>
              </w:r>
            </w:hyperlink>
            <w:r>
              <w:rPr>
                <w:vertAlign w:val="superscript"/>
              </w:rPr>
              <w:t xml:space="preserve">+</w:t>
            </w:r>
          </w:p>
        </w:tc>
        <w:tc>
          <w:tcPr/>
          <w:p>
            <w:pPr>
              <w:pStyle w:val="Compact"/>
              <w:jc w:val="left"/>
            </w:pPr>
            <w:r>
              <w:t xml:space="preserve">i.v.</w:t>
            </w:r>
          </w:p>
        </w:tc>
        <w:tc>
          <w:tcPr/>
          <w:p>
            <w:pPr>
              <w:pStyle w:val="Compact"/>
              <w:jc w:val="left"/>
            </w:pPr>
            <w:r>
              <w:t xml:space="preserve">10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Regårdh 1990</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w:t>
            </w:r>
          </w:p>
        </w:tc>
        <w:tc>
          <w:tcPr/>
          <w:p>
            <w:pPr>
              <w:pStyle w:val="Compact"/>
              <w:jc w:val="left"/>
            </w:pPr>
            <w:r>
              <w:t xml:space="preserve">M</w:t>
            </w:r>
          </w:p>
        </w:tc>
        <w:tc>
          <w:tcPr/>
          <w:p>
            <w:pPr>
              <w:pStyle w:val="Compact"/>
              <w:jc w:val="left"/>
            </w:pPr>
            <w:r>
              <w:t xml:space="preserve">8</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Cho 2002</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 asian</w:t>
            </w:r>
          </w:p>
        </w:tc>
        <w:tc>
          <w:tcPr/>
          <w:p>
            <w:pPr>
              <w:pStyle w:val="Compact"/>
              <w:jc w:val="left"/>
            </w:pPr>
            <w:r>
              <w:t xml:space="preserve">-</w:t>
            </w:r>
          </w:p>
        </w:tc>
        <w:tc>
          <w:tcPr/>
          <w:p>
            <w:pPr>
              <w:pStyle w:val="Compact"/>
              <w:jc w:val="left"/>
            </w:pPr>
            <w:r>
              <w:t xml:space="preserve">-</w:t>
            </w:r>
          </w:p>
        </w:tc>
        <w:tc>
          <w:tcPr/>
          <w:p>
            <w:pPr>
              <w:pStyle w:val="Compact"/>
              <w:jc w:val="left"/>
            </w:pPr>
            <w:r>
              <w:t xml:space="preserve">capsule</w:t>
            </w:r>
          </w:p>
        </w:tc>
        <w:tc>
          <w:tcPr/>
          <w:p>
            <w:pPr>
              <w:pStyle w:val="Compact"/>
              <w:jc w:val="left"/>
            </w:pPr>
            <w:r>
              <w:t xml:space="preserve">EM +/- moclobemide</w:t>
            </w:r>
          </w:p>
        </w:tc>
      </w:tr>
      <w:tr>
        <w:tc>
          <w:tcPr/>
          <w:p>
            <w:pPr>
              <w:pStyle w:val="Compact"/>
              <w:jc w:val="left"/>
            </w:pPr>
            <w:hyperlink w:anchor="Xa559bd5247f9128e74e6edcc17de37648e8cde6">
              <w:r>
                <w:rPr>
                  <w:rStyle w:val="Hyperlink"/>
                </w:rPr>
                <w:t xml:space="preserve">Cho 2002</w:t>
              </w:r>
            </w:hyperlink>
          </w:p>
        </w:tc>
        <w:tc>
          <w:tcPr/>
          <w:p>
            <w:pPr>
              <w:pStyle w:val="Compact"/>
              <w:jc w:val="left"/>
            </w:pPr>
            <w:r>
              <w:t xml:space="preserve">p.o.</w:t>
            </w:r>
          </w:p>
        </w:tc>
        <w:tc>
          <w:tcPr/>
          <w:p>
            <w:pPr>
              <w:pStyle w:val="Compact"/>
              <w:jc w:val="left"/>
            </w:pPr>
            <w:r>
              <w:t xml:space="preserve">20</w:t>
            </w:r>
          </w:p>
        </w:tc>
        <w:tc>
          <w:tcPr/>
          <w:p>
            <w:pPr>
              <w:pStyle w:val="Compact"/>
              <w:jc w:val="left"/>
            </w:pPr>
            <w:r>
              <w:t xml:space="preserve">HV asian</w:t>
            </w:r>
          </w:p>
        </w:tc>
        <w:tc>
          <w:tcPr/>
          <w:p>
            <w:pPr>
              <w:pStyle w:val="Compact"/>
              <w:jc w:val="left"/>
            </w:pPr>
            <w:r>
              <w:t xml:space="preserve">-</w:t>
            </w:r>
          </w:p>
        </w:tc>
        <w:tc>
          <w:tcPr/>
          <w:p>
            <w:pPr>
              <w:pStyle w:val="Compact"/>
              <w:jc w:val="left"/>
            </w:pPr>
            <w:r>
              <w:t xml:space="preserve">-</w:t>
            </w:r>
          </w:p>
        </w:tc>
        <w:tc>
          <w:tcPr/>
          <w:p>
            <w:pPr>
              <w:pStyle w:val="Compact"/>
              <w:jc w:val="left"/>
            </w:pPr>
            <w:r>
              <w:t xml:space="preserve">capsule</w:t>
            </w:r>
          </w:p>
        </w:tc>
        <w:tc>
          <w:tcPr/>
          <w:p>
            <w:pPr>
              <w:pStyle w:val="Compact"/>
              <w:jc w:val="left"/>
            </w:pPr>
            <w:r>
              <w:t xml:space="preserve">PM +/- moclobemide</w:t>
            </w:r>
          </w:p>
        </w:tc>
      </w:tr>
      <w:tr>
        <w:tc>
          <w:tcPr/>
          <w:p>
            <w:pPr>
              <w:pStyle w:val="Compact"/>
              <w:jc w:val="left"/>
            </w:pPr>
            <w:hyperlink w:anchor="Xa559bd5247f9128e74e6edcc17de37648e8cde6">
              <w:r>
                <w:rPr>
                  <w:rStyle w:val="Hyperlink"/>
                </w:rPr>
                <w:t xml:space="preserve">Yasui-Furukori 2004</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omepral</w:t>
            </w:r>
          </w:p>
        </w:tc>
        <w:tc>
          <w:tcPr/>
          <w:p>
            <w:pPr>
              <w:pStyle w:val="Compact"/>
            </w:pPr>
          </w:p>
        </w:tc>
      </w:tr>
      <w:tr>
        <w:tc>
          <w:tcPr/>
          <w:p>
            <w:pPr>
              <w:pStyle w:val="Compact"/>
              <w:jc w:val="left"/>
            </w:pPr>
            <w:hyperlink w:anchor="Xa559bd5247f9128e74e6edcc17de37648e8cde6">
              <w:r>
                <w:rPr>
                  <w:rStyle w:val="Hyperlink"/>
                </w:rPr>
                <w:t xml:space="preserve">Yasui-Furukori 2004</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 japanese</w:t>
            </w:r>
          </w:p>
        </w:tc>
        <w:tc>
          <w:tcPr/>
          <w:p>
            <w:pPr>
              <w:pStyle w:val="Compact"/>
              <w:jc w:val="left"/>
            </w:pPr>
            <w:r>
              <w:t xml:space="preserve">M - F</w:t>
            </w:r>
          </w:p>
        </w:tc>
        <w:tc>
          <w:tcPr/>
          <w:p>
            <w:pPr>
              <w:pStyle w:val="Compact"/>
              <w:jc w:val="left"/>
            </w:pPr>
            <w:r>
              <w:t xml:space="preserve">6</w:t>
            </w:r>
          </w:p>
        </w:tc>
        <w:tc>
          <w:tcPr/>
          <w:p>
            <w:pPr>
              <w:pStyle w:val="Compact"/>
              <w:jc w:val="left"/>
            </w:pPr>
            <w:r>
              <w:t xml:space="preserve">omepral</w:t>
            </w:r>
          </w:p>
        </w:tc>
        <w:tc>
          <w:tcPr/>
          <w:p>
            <w:pPr>
              <w:pStyle w:val="Compact"/>
              <w:jc w:val="left"/>
            </w:pPr>
            <w:r>
              <w:t xml:space="preserve">PM +/- fluvoxamine</w:t>
            </w:r>
          </w:p>
        </w:tc>
      </w:tr>
      <w:tr>
        <w:tc>
          <w:tcPr/>
          <w:p>
            <w:pPr>
              <w:pStyle w:val="Compact"/>
              <w:jc w:val="left"/>
            </w:pPr>
            <w:hyperlink w:anchor="Xa559bd5247f9128e74e6edcc17de37648e8cde6">
              <w:r>
                <w:rPr>
                  <w:rStyle w:val="Hyperlink"/>
                </w:rPr>
                <w:t xml:space="preserve">Wu 2016</w:t>
              </w:r>
            </w:hyperlink>
          </w:p>
        </w:tc>
        <w:tc>
          <w:tcPr/>
          <w:p>
            <w:pPr>
              <w:pStyle w:val="Compact"/>
              <w:jc w:val="left"/>
            </w:pPr>
            <w:r>
              <w:t xml:space="preserve">p.o.</w:t>
            </w:r>
          </w:p>
        </w:tc>
        <w:tc>
          <w:tcPr/>
          <w:p>
            <w:pPr>
              <w:pStyle w:val="Compact"/>
              <w:jc w:val="left"/>
            </w:pPr>
            <w:r>
              <w:t xml:space="preserve">40 q.d.</w:t>
            </w:r>
          </w:p>
        </w:tc>
        <w:tc>
          <w:tcPr/>
          <w:p>
            <w:pPr>
              <w:pStyle w:val="Compact"/>
              <w:jc w:val="left"/>
            </w:pPr>
            <w:r>
              <w:t xml:space="preserve">HV caucasian</w:t>
            </w:r>
          </w:p>
        </w:tc>
        <w:tc>
          <w:tcPr/>
          <w:p>
            <w:pPr>
              <w:pStyle w:val="Compact"/>
              <w:jc w:val="left"/>
            </w:pPr>
            <w:r>
              <w:t xml:space="preserve">M - F</w:t>
            </w:r>
          </w:p>
        </w:tc>
        <w:tc>
          <w:tcPr/>
          <w:p>
            <w:pPr>
              <w:pStyle w:val="Compact"/>
              <w:jc w:val="left"/>
            </w:pPr>
            <w:r>
              <w:t xml:space="preserve">15</w:t>
            </w:r>
          </w:p>
        </w:tc>
        <w:tc>
          <w:tcPr/>
          <w:p>
            <w:pPr>
              <w:pStyle w:val="Compact"/>
              <w:jc w:val="left"/>
            </w:pPr>
            <w:r>
              <w:t xml:space="preserve">gastro-resistant hard capsule</w:t>
            </w:r>
          </w:p>
        </w:tc>
        <w:tc>
          <w:tcPr/>
          <w:p>
            <w:pPr>
              <w:pStyle w:val="Compact"/>
            </w:pPr>
          </w:p>
        </w:tc>
      </w:tr>
    </w:tbl>
    <w:p>
      <w:pPr>
        <w:pStyle w:val="BodyText"/>
      </w:pPr>
      <w:r>
        <w:rPr>
          <w:bCs/>
          <w:b/>
        </w:rPr>
        <w:t xml:space="preserve">Table 3:</w:t>
      </w:r>
      <w:r>
        <w:t xml:space="preserve"> </w:t>
      </w:r>
      <w:r>
        <w:t xml:space="preserve">Literature sources of clinical concentration data of 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3" w:name="table-3"/>
      <w:bookmarkEnd w:id="table-3"/>
    </w:p>
    <w:tbl>
      <w:tblPr>
        <w:tblStyle w:val="Table"/>
        <w:tblW w:type="pct" w:w="5000"/>
        <w:tblLook w:firstRow="1" w:lastRow="0" w:firstColumn="0" w:lastColumn="0" w:noHBand="0" w:noVBand="0" w:val="0020"/>
        <w:jc w:val="start"/>
      </w:tblPr>
      <w:tblGrid>
        <w:gridCol w:w="2291"/>
        <w:gridCol w:w="448"/>
        <w:gridCol w:w="2988"/>
        <w:gridCol w:w="398"/>
        <w:gridCol w:w="348"/>
        <w:gridCol w:w="249"/>
        <w:gridCol w:w="647"/>
        <w:gridCol w:w="547"/>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Wilder-Smith 2005</w:t>
              </w:r>
            </w:hyperlink>
            <w:r>
              <w:rPr>
                <w:vertAlign w:val="superscript"/>
              </w:rPr>
              <w:t xml:space="preserve">+</w:t>
            </w:r>
          </w:p>
        </w:tc>
        <w:tc>
          <w:tcPr/>
          <w:p>
            <w:pPr>
              <w:pStyle w:val="Compact"/>
              <w:jc w:val="left"/>
            </w:pPr>
            <w:r>
              <w:t xml:space="preserve">i.v.</w:t>
            </w:r>
          </w:p>
        </w:tc>
        <w:tc>
          <w:tcPr/>
          <w:p>
            <w:pPr>
              <w:pStyle w:val="Compact"/>
              <w:jc w:val="left"/>
            </w:pPr>
            <w:r>
              <w:t xml:space="preserve">40 q.d.</w:t>
            </w:r>
          </w:p>
        </w:tc>
        <w:tc>
          <w:tcPr/>
          <w:p>
            <w:pPr>
              <w:pStyle w:val="Compact"/>
              <w:jc w:val="left"/>
            </w:pPr>
            <w:r>
              <w:t xml:space="preserve">HV</w:t>
            </w:r>
          </w:p>
        </w:tc>
        <w:tc>
          <w:tcPr/>
          <w:p>
            <w:pPr>
              <w:pStyle w:val="Compact"/>
              <w:jc w:val="left"/>
            </w:pPr>
            <w:r>
              <w:t xml:space="preserve">M - F</w:t>
            </w:r>
          </w:p>
        </w:tc>
        <w:tc>
          <w:tcPr/>
          <w:p>
            <w:pPr>
              <w:pStyle w:val="Compact"/>
              <w:jc w:val="left"/>
            </w:pPr>
            <w:r>
              <w:t xml:space="preserve">39</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Wilder-Smith 2005</w:t>
              </w:r>
            </w:hyperlink>
            <w:r>
              <w:rPr>
                <w:vertAlign w:val="superscript"/>
              </w:rPr>
              <w:t xml:space="preserve">+</w:t>
            </w:r>
          </w:p>
        </w:tc>
        <w:tc>
          <w:tcPr/>
          <w:p>
            <w:pPr>
              <w:pStyle w:val="Compact"/>
              <w:jc w:val="left"/>
            </w:pPr>
            <w:r>
              <w:t xml:space="preserve">p.o.</w:t>
            </w:r>
          </w:p>
        </w:tc>
        <w:tc>
          <w:tcPr/>
          <w:p>
            <w:pPr>
              <w:pStyle w:val="Compact"/>
              <w:jc w:val="left"/>
            </w:pPr>
            <w:r>
              <w:t xml:space="preserve">40 q.d.</w:t>
            </w:r>
          </w:p>
        </w:tc>
        <w:tc>
          <w:tcPr/>
          <w:p>
            <w:pPr>
              <w:pStyle w:val="Compact"/>
              <w:jc w:val="left"/>
            </w:pPr>
            <w:r>
              <w:t xml:space="preserve">HV</w:t>
            </w:r>
          </w:p>
        </w:tc>
        <w:tc>
          <w:tcPr/>
          <w:p>
            <w:pPr>
              <w:pStyle w:val="Compact"/>
              <w:jc w:val="left"/>
            </w:pPr>
            <w:r>
              <w:t xml:space="preserve">M - F</w:t>
            </w:r>
          </w:p>
        </w:tc>
        <w:tc>
          <w:tcPr/>
          <w:p>
            <w:pPr>
              <w:pStyle w:val="Compact"/>
              <w:jc w:val="left"/>
            </w:pPr>
            <w:r>
              <w:t xml:space="preserve">37</w:t>
            </w:r>
          </w:p>
        </w:tc>
        <w:tc>
          <w:tcPr/>
          <w:p>
            <w:pPr>
              <w:pStyle w:val="Compact"/>
              <w:jc w:val="left"/>
            </w:pPr>
            <w:r>
              <w:t xml:space="preserve">capsule</w:t>
            </w:r>
          </w:p>
        </w:tc>
        <w:tc>
          <w:tcPr/>
          <w:p>
            <w:pPr>
              <w:pStyle w:val="Compact"/>
            </w:pPr>
          </w:p>
        </w:tc>
      </w:tr>
      <w:tr>
        <w:tc>
          <w:tcPr/>
          <w:p>
            <w:pPr>
              <w:pStyle w:val="Compact"/>
              <w:jc w:val="left"/>
            </w:pPr>
            <w:hyperlink w:anchor="Xa559bd5247f9128e74e6edcc17de37648e8cde6">
              <w:r>
                <w:rPr>
                  <w:rStyle w:val="Hyperlink"/>
                </w:rPr>
                <w:t xml:space="preserve">Hassan-Alin 2000</w:t>
              </w:r>
            </w:hyperlink>
            <w:r>
              <w:rPr>
                <w:vertAlign w:val="superscript"/>
              </w:rPr>
              <w:t xml:space="preserve">+</w:t>
            </w:r>
          </w:p>
        </w:tc>
        <w:tc>
          <w:tcPr/>
          <w:p>
            <w:pPr>
              <w:pStyle w:val="Compact"/>
              <w:jc w:val="left"/>
            </w:pPr>
            <w:r>
              <w:t xml:space="preserve">i.v.</w:t>
            </w:r>
          </w:p>
        </w:tc>
        <w:tc>
          <w:tcPr/>
          <w:p>
            <w:pPr>
              <w:pStyle w:val="Compact"/>
              <w:jc w:val="left"/>
            </w:pPr>
            <w:r>
              <w:t xml:space="preserve">20 - 40</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solution</w:t>
            </w:r>
          </w:p>
        </w:tc>
        <w:tc>
          <w:tcPr/>
          <w:p>
            <w:pPr>
              <w:pStyle w:val="Compact"/>
            </w:pPr>
          </w:p>
        </w:tc>
      </w:tr>
      <w:tr>
        <w:tc>
          <w:tcPr/>
          <w:p>
            <w:pPr>
              <w:pStyle w:val="Compact"/>
              <w:jc w:val="left"/>
            </w:pPr>
            <w:hyperlink w:anchor="Xa559bd5247f9128e74e6edcc17de37648e8cde6">
              <w:r>
                <w:rPr>
                  <w:rStyle w:val="Hyperlink"/>
                </w:rPr>
                <w:t xml:space="preserve">Andersson 2000</w:t>
              </w:r>
            </w:hyperlink>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r>
              <w:rPr>
                <w:vertAlign w:val="superscript"/>
              </w:rPr>
              <w:t xml:space="preserve">+</w:t>
            </w:r>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r>
        <w:tc>
          <w:tcPr/>
          <w:p>
            <w:pPr>
              <w:pStyle w:val="Compact"/>
              <w:jc w:val="left"/>
            </w:pPr>
            <w:hyperlink w:anchor="Xa559bd5247f9128e74e6edcc17de37648e8cde6">
              <w:r>
                <w:rPr>
                  <w:rStyle w:val="Hyperlink"/>
                </w:rPr>
                <w:t xml:space="preserve">FDA Nexium Review</w:t>
              </w:r>
            </w:hyperlink>
          </w:p>
        </w:tc>
        <w:tc>
          <w:tcPr/>
          <w:p>
            <w:pPr>
              <w:pStyle w:val="Compact"/>
              <w:jc w:val="left"/>
            </w:pPr>
            <w:r>
              <w:t xml:space="preserve">p.o.</w:t>
            </w:r>
          </w:p>
        </w:tc>
        <w:tc>
          <w:tcPr/>
          <w:p>
            <w:pPr>
              <w:pStyle w:val="Compact"/>
              <w:jc w:val="left"/>
            </w:pPr>
            <w:r>
              <w:t xml:space="preserve">40</w:t>
            </w:r>
          </w:p>
        </w:tc>
        <w:tc>
          <w:tcPr/>
          <w:p>
            <w:pPr>
              <w:pStyle w:val="Compact"/>
              <w:jc w:val="left"/>
            </w:pPr>
            <w:r>
              <w:t xml:space="preserve">HV</w:t>
            </w:r>
          </w:p>
        </w:tc>
        <w:tc>
          <w:tcPr/>
          <w:p>
            <w:pPr>
              <w:pStyle w:val="Compact"/>
              <w:jc w:val="left"/>
            </w:pPr>
            <w:r>
              <w:t xml:space="preserve">M</w:t>
            </w:r>
          </w:p>
        </w:tc>
        <w:tc>
          <w:tcPr/>
          <w:p>
            <w:pPr>
              <w:pStyle w:val="Compact"/>
              <w:jc w:val="left"/>
            </w:pPr>
            <w:r>
              <w:t xml:space="preserve">-</w:t>
            </w:r>
          </w:p>
        </w:tc>
        <w:tc>
          <w:tcPr/>
          <w:p>
            <w:pPr>
              <w:pStyle w:val="Compact"/>
              <w:jc w:val="left"/>
            </w:pPr>
            <w:r>
              <w:t xml:space="preserve">-</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FDA Nexium Review</w:t>
              </w:r>
            </w:hyperlink>
            <w:r>
              <w:rPr>
                <w:vertAlign w:val="superscript"/>
              </w:rPr>
              <w:t xml:space="preserve">+</w:t>
            </w:r>
          </w:p>
        </w:tc>
        <w:tc>
          <w:tcPr/>
          <w:p>
            <w:pPr>
              <w:pStyle w:val="Compact"/>
              <w:jc w:val="left"/>
            </w:pPr>
            <w:r>
              <w:t xml:space="preserve">p.o.</w:t>
            </w:r>
          </w:p>
        </w:tc>
        <w:tc>
          <w:tcPr/>
          <w:p>
            <w:pPr>
              <w:pStyle w:val="Compact"/>
              <w:jc w:val="left"/>
            </w:pPr>
            <w:r>
              <w:t xml:space="preserve">40</w:t>
            </w:r>
          </w:p>
        </w:tc>
        <w:tc>
          <w:tcPr/>
          <w:p>
            <w:pPr>
              <w:pStyle w:val="Compact"/>
              <w:jc w:val="left"/>
            </w:pPr>
            <w:r>
              <w:t xml:space="preserve">HV</w:t>
            </w:r>
          </w:p>
        </w:tc>
        <w:tc>
          <w:tcPr/>
          <w:p>
            <w:pPr>
              <w:pStyle w:val="Compact"/>
              <w:jc w:val="left"/>
            </w:pPr>
            <w:r>
              <w:t xml:space="preserve">M</w:t>
            </w:r>
          </w:p>
        </w:tc>
        <w:tc>
          <w:tcPr/>
          <w:p>
            <w:pPr>
              <w:pStyle w:val="Compact"/>
              <w:jc w:val="left"/>
            </w:pPr>
            <w:r>
              <w:t xml:space="preserve">-</w:t>
            </w:r>
          </w:p>
        </w:tc>
        <w:tc>
          <w:tcPr/>
          <w:p>
            <w:pPr>
              <w:pStyle w:val="Compact"/>
              <w:jc w:val="left"/>
            </w:pPr>
            <w:r>
              <w:t xml:space="preserve">-</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Rohss 2007</w:t>
              </w:r>
            </w:hyperlink>
            <w:r>
              <w:rPr>
                <w:vertAlign w:val="superscript"/>
              </w:rPr>
              <w:t xml:space="preserve">+</w:t>
            </w:r>
          </w:p>
        </w:tc>
        <w:tc>
          <w:tcPr/>
          <w:p>
            <w:pPr>
              <w:pStyle w:val="Compact"/>
              <w:jc w:val="left"/>
            </w:pPr>
            <w:r>
              <w:t xml:space="preserve">i.v.</w:t>
            </w:r>
          </w:p>
        </w:tc>
        <w:tc>
          <w:tcPr/>
          <w:p>
            <w:pPr>
              <w:pStyle w:val="Compact"/>
              <w:jc w:val="left"/>
            </w:pPr>
            <w:r>
              <w:t xml:space="preserve">120mg(30min)+8mg/h - 120mg(2h)+8mg/h - 80mg(30min)+4mg/h - 80mg(30min)+8mg/h - 40mg(30min)+8mg/h</w:t>
            </w:r>
          </w:p>
        </w:tc>
        <w:tc>
          <w:tcPr/>
          <w:p>
            <w:pPr>
              <w:pStyle w:val="Compact"/>
              <w:jc w:val="left"/>
            </w:pPr>
            <w:r>
              <w:t xml:space="preserve">HV</w:t>
            </w:r>
          </w:p>
        </w:tc>
        <w:tc>
          <w:tcPr/>
          <w:p>
            <w:pPr>
              <w:pStyle w:val="Compact"/>
              <w:jc w:val="left"/>
            </w:pPr>
            <w:r>
              <w:t xml:space="preserve">-</w:t>
            </w:r>
          </w:p>
        </w:tc>
        <w:tc>
          <w:tcPr/>
          <w:p>
            <w:pPr>
              <w:pStyle w:val="Compact"/>
              <w:jc w:val="left"/>
            </w:pPr>
            <w:r>
              <w:t xml:space="preserve">25</w:t>
            </w:r>
          </w:p>
        </w:tc>
        <w:tc>
          <w:tcPr/>
          <w:p>
            <w:pPr>
              <w:pStyle w:val="Compact"/>
              <w:jc w:val="left"/>
            </w:pPr>
            <w:r>
              <w:t xml:space="preserve">solution</w:t>
            </w:r>
          </w:p>
        </w:tc>
        <w:tc>
          <w:tcPr/>
          <w:p>
            <w:pPr>
              <w:pStyle w:val="Compact"/>
            </w:pPr>
          </w:p>
        </w:tc>
      </w:tr>
    </w:tbl>
    <w:p>
      <w:pPr>
        <w:pStyle w:val="BodyText"/>
      </w:pPr>
      <w:r>
        <w:rPr>
          <w:bCs/>
          <w:b/>
        </w:rPr>
        <w:t xml:space="preserve">Table 4:</w:t>
      </w:r>
      <w:r>
        <w:t xml:space="preserve"> </w:t>
      </w:r>
      <w:r>
        <w:t xml:space="preserve">Literature sources of clinical concentration data of S-omeprazole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4" w:name="table-4"/>
      <w:bookmarkEnd w:id="table-4"/>
    </w:p>
    <w:tbl>
      <w:tblPr>
        <w:tblStyle w:val="Table"/>
        <w:tblW w:type="pct" w:w="5000"/>
        <w:tblLook w:firstRow="1" w:lastRow="0" w:firstColumn="0" w:lastColumn="0" w:noHBand="0" w:noVBand="0" w:val="0020"/>
        <w:jc w:val="start"/>
      </w:tblPr>
      <w:tblGrid>
        <w:gridCol w:w="2762"/>
        <w:gridCol w:w="552"/>
        <w:gridCol w:w="1903"/>
        <w:gridCol w:w="491"/>
        <w:gridCol w:w="429"/>
        <w:gridCol w:w="306"/>
        <w:gridCol w:w="798"/>
        <w:gridCol w:w="675"/>
      </w:tblGrid>
      <w:tr>
        <w:trPr>
          <w:tblHeader w:val="true"/>
        </w:trPr>
        <w:tc>
          <w:tcPr/>
          <w:p>
            <w:pPr>
              <w:pStyle w:val="Compact"/>
              <w:jc w:val="left"/>
            </w:pPr>
            <w:r>
              <w:rPr>
                <w:bCs/>
                <w:b/>
              </w:rPr>
              <w:t xml:space="preserve">Source</w:t>
            </w:r>
          </w:p>
        </w:tc>
        <w:tc>
          <w:tcPr/>
          <w:p>
            <w:pPr>
              <w:pStyle w:val="Compact"/>
              <w:jc w:val="left"/>
            </w:pPr>
            <w:r>
              <w:rPr>
                <w:bCs/>
                <w:b/>
              </w:rPr>
              <w:t xml:space="preserve">Route</w:t>
            </w:r>
          </w:p>
        </w:tc>
        <w:tc>
          <w:tcPr/>
          <w:p>
            <w:pPr>
              <w:pStyle w:val="Compact"/>
              <w:jc w:val="left"/>
            </w:pPr>
            <w:r>
              <w:rPr>
                <w:bCs/>
                <w:b/>
              </w:rPr>
              <w:t xml:space="preserve">Dose [mg]/</w:t>
            </w:r>
            <w:r>
              <w:t xml:space="preserve"> </w:t>
            </w:r>
            <w:r>
              <w:rPr>
                <w:bCs/>
                <w:b/>
              </w:rPr>
              <w:t xml:space="preserve">Schedule *</w:t>
            </w:r>
          </w:p>
        </w:tc>
        <w:tc>
          <w:tcPr/>
          <w:p>
            <w:pPr>
              <w:pStyle w:val="Compact"/>
              <w:jc w:val="left"/>
            </w:pPr>
            <w:r>
              <w:rPr>
                <w:bCs/>
                <w:b/>
              </w:rPr>
              <w:t xml:space="preserve">Pop.</w:t>
            </w:r>
          </w:p>
        </w:tc>
        <w:tc>
          <w:tcPr/>
          <w:p>
            <w:pPr>
              <w:pStyle w:val="Compact"/>
              <w:jc w:val="left"/>
            </w:pPr>
            <w:r>
              <w:rPr>
                <w:bCs/>
                <w:b/>
              </w:rPr>
              <w:t xml:space="preserve">Sex</w:t>
            </w:r>
          </w:p>
        </w:tc>
        <w:tc>
          <w:tcPr/>
          <w:p>
            <w:pPr>
              <w:pStyle w:val="Compact"/>
              <w:jc w:val="left"/>
            </w:pPr>
            <w:r>
              <w:rPr>
                <w:bCs/>
                <w:b/>
              </w:rPr>
              <w:t xml:space="preserve">N</w:t>
            </w:r>
          </w:p>
        </w:tc>
        <w:tc>
          <w:tcPr/>
          <w:p>
            <w:pPr>
              <w:pStyle w:val="Compact"/>
              <w:jc w:val="left"/>
            </w:pPr>
            <w:r>
              <w:rPr>
                <w:bCs/>
                <w:b/>
              </w:rPr>
              <w:t xml:space="preserve">Form.</w:t>
            </w:r>
          </w:p>
        </w:tc>
        <w:tc>
          <w:tcPr/>
          <w:p>
            <w:pPr>
              <w:pStyle w:val="Compact"/>
              <w:jc w:val="left"/>
            </w:pPr>
            <w:r>
              <w:rPr>
                <w:bCs/>
                <w:b/>
              </w:rPr>
              <w:t xml:space="preserve">Comment</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15 q.d.</w:t>
            </w:r>
          </w:p>
        </w:tc>
        <w:tc>
          <w:tcPr/>
          <w:p>
            <w:pPr>
              <w:pStyle w:val="Compact"/>
              <w:jc w:val="left"/>
            </w:pPr>
            <w:r>
              <w:t xml:space="preserve">HV</w:t>
            </w:r>
          </w:p>
        </w:tc>
        <w:tc>
          <w:tcPr/>
          <w:p>
            <w:pPr>
              <w:pStyle w:val="Compact"/>
              <w:jc w:val="left"/>
            </w:pPr>
            <w:r>
              <w:t xml:space="preserve">-</w:t>
            </w:r>
          </w:p>
        </w:tc>
        <w:tc>
          <w:tcPr/>
          <w:p>
            <w:pPr>
              <w:pStyle w:val="Compact"/>
              <w:jc w:val="left"/>
            </w:pPr>
            <w:r>
              <w:t xml:space="preserve">4</w:t>
            </w:r>
          </w:p>
        </w:tc>
        <w:tc>
          <w:tcPr/>
          <w:p>
            <w:pPr>
              <w:pStyle w:val="Compact"/>
              <w:jc w:val="left"/>
            </w:pPr>
            <w:r>
              <w:t xml:space="preserve">oral solution</w:t>
            </w:r>
          </w:p>
        </w:tc>
        <w:tc>
          <w:tcPr/>
          <w:p>
            <w:pPr>
              <w:pStyle w:val="Compact"/>
              <w:jc w:val="left"/>
            </w:pPr>
            <w:r>
              <w:t xml:space="preserve">EM</w:t>
            </w:r>
          </w:p>
        </w:tc>
      </w:tr>
      <w:tr>
        <w:tc>
          <w:tcPr/>
          <w:p>
            <w:pPr>
              <w:pStyle w:val="Compact"/>
              <w:jc w:val="left"/>
            </w:pPr>
            <w:hyperlink w:anchor="Xa559bd5247f9128e74e6edcc17de37648e8cde6">
              <w:r>
                <w:rPr>
                  <w:rStyle w:val="Hyperlink"/>
                </w:rPr>
                <w:t xml:space="preserve">Andersson 2000</w:t>
              </w:r>
            </w:hyperlink>
            <w:r>
              <w:rPr>
                <w:vertAlign w:val="superscript"/>
              </w:rPr>
              <w:t xml:space="preserve">+</w:t>
            </w:r>
          </w:p>
        </w:tc>
        <w:tc>
          <w:tcPr/>
          <w:p>
            <w:pPr>
              <w:pStyle w:val="Compact"/>
              <w:jc w:val="left"/>
            </w:pPr>
            <w:r>
              <w:t xml:space="preserve">p.o.</w:t>
            </w:r>
          </w:p>
        </w:tc>
        <w:tc>
          <w:tcPr/>
          <w:p>
            <w:pPr>
              <w:pStyle w:val="Compact"/>
              <w:jc w:val="left"/>
            </w:pPr>
            <w:r>
              <w:t xml:space="preserve">60 q.d.</w:t>
            </w:r>
          </w:p>
        </w:tc>
        <w:tc>
          <w:tcPr/>
          <w:p>
            <w:pPr>
              <w:pStyle w:val="Compact"/>
              <w:jc w:val="left"/>
            </w:pPr>
            <w:r>
              <w:t xml:space="preserve">HV</w:t>
            </w:r>
          </w:p>
        </w:tc>
        <w:tc>
          <w:tcPr/>
          <w:p>
            <w:pPr>
              <w:pStyle w:val="Compact"/>
              <w:jc w:val="left"/>
            </w:pPr>
            <w:r>
              <w:t xml:space="preserve">-</w:t>
            </w:r>
          </w:p>
        </w:tc>
        <w:tc>
          <w:tcPr/>
          <w:p>
            <w:pPr>
              <w:pStyle w:val="Compact"/>
              <w:jc w:val="left"/>
            </w:pPr>
            <w:r>
              <w:t xml:space="preserve">5</w:t>
            </w:r>
          </w:p>
        </w:tc>
        <w:tc>
          <w:tcPr/>
          <w:p>
            <w:pPr>
              <w:pStyle w:val="Compact"/>
              <w:jc w:val="left"/>
            </w:pPr>
            <w:r>
              <w:t xml:space="preserve">oral solution</w:t>
            </w:r>
          </w:p>
        </w:tc>
        <w:tc>
          <w:tcPr/>
          <w:p>
            <w:pPr>
              <w:pStyle w:val="Compact"/>
              <w:jc w:val="left"/>
            </w:pPr>
            <w:r>
              <w:t xml:space="preserve">PM</w:t>
            </w:r>
          </w:p>
        </w:tc>
      </w:tr>
      <w:tr>
        <w:tc>
          <w:tcPr/>
          <w:p>
            <w:pPr>
              <w:pStyle w:val="Compact"/>
              <w:jc w:val="left"/>
            </w:pPr>
            <w:hyperlink w:anchor="Xa559bd5247f9128e74e6edcc17de37648e8cde6">
              <w:r>
                <w:rPr>
                  <w:rStyle w:val="Hyperlink"/>
                </w:rPr>
                <w:t xml:space="preserve">Hassan-Alin 2005</w:t>
              </w:r>
            </w:hyperlink>
            <w:r>
              <w:rPr>
                <w:vertAlign w:val="superscript"/>
              </w:rPr>
              <w:t xml:space="preserve">+</w:t>
            </w:r>
          </w:p>
        </w:tc>
        <w:tc>
          <w:tcPr/>
          <w:p>
            <w:pPr>
              <w:pStyle w:val="Compact"/>
              <w:jc w:val="left"/>
            </w:pPr>
            <w:r>
              <w:t xml:space="preserve">p.o.</w:t>
            </w:r>
          </w:p>
        </w:tc>
        <w:tc>
          <w:tcPr/>
          <w:p>
            <w:pPr>
              <w:pStyle w:val="Compact"/>
              <w:jc w:val="left"/>
            </w:pPr>
            <w:r>
              <w:t xml:space="preserve">20 - 40 q.d.</w:t>
            </w:r>
          </w:p>
        </w:tc>
        <w:tc>
          <w:tcPr/>
          <w:p>
            <w:pPr>
              <w:pStyle w:val="Compact"/>
              <w:jc w:val="left"/>
            </w:pPr>
            <w:r>
              <w:t xml:space="preserve">HV</w:t>
            </w:r>
          </w:p>
        </w:tc>
        <w:tc>
          <w:tcPr/>
          <w:p>
            <w:pPr>
              <w:pStyle w:val="Compact"/>
              <w:jc w:val="left"/>
            </w:pPr>
            <w:r>
              <w:t xml:space="preserve">-</w:t>
            </w:r>
          </w:p>
        </w:tc>
        <w:tc>
          <w:tcPr/>
          <w:p>
            <w:pPr>
              <w:pStyle w:val="Compact"/>
              <w:jc w:val="left"/>
            </w:pPr>
            <w:r>
              <w:t xml:space="preserve">-</w:t>
            </w:r>
          </w:p>
        </w:tc>
        <w:tc>
          <w:tcPr/>
          <w:p>
            <w:pPr>
              <w:pStyle w:val="Compact"/>
              <w:jc w:val="left"/>
            </w:pPr>
            <w:r>
              <w:t xml:space="preserve">oral solution</w:t>
            </w:r>
          </w:p>
        </w:tc>
        <w:tc>
          <w:tcPr/>
          <w:p>
            <w:pPr>
              <w:pStyle w:val="Compact"/>
            </w:pPr>
          </w:p>
        </w:tc>
      </w:tr>
    </w:tbl>
    <w:p>
      <w:pPr>
        <w:pStyle w:val="BodyText"/>
      </w:pPr>
      <w:r>
        <w:rPr>
          <w:bCs/>
          <w:b/>
        </w:rPr>
        <w:t xml:space="preserve">Table 5:</w:t>
      </w:r>
      <w:r>
        <w:t xml:space="preserve"> </w:t>
      </w:r>
      <w:r>
        <w:t xml:space="preserve">Literature sources of clinical concentration data of R-omeprazole used for model development and validation.</w:t>
      </w:r>
      <w:r>
        <w:t xml:space="preserve"> </w:t>
      </w:r>
      <w:r>
        <w:rPr>
          <w:iCs/>
          <w:i/>
        </w:rPr>
        <w:t xml:space="preserve">e.c.: enteric coated; -: respective information was not provided in the literature source; *:single dose unless otherwise specified; EM: extensive metabolizers; PM: poor metabolizers;</w:t>
      </w:r>
      <w:r>
        <w:rPr>
          <w:iCs/>
          <w:i/>
        </w:rPr>
        <w:t xml:space="preserve"> </w:t>
      </w:r>
      <w:r>
        <w:rPr>
          <w:vertAlign w:val="superscript"/>
          <w:iCs/>
          <w:i/>
        </w:rPr>
        <w:t xml:space="preserve">+</w:t>
      </w:r>
      <w:r>
        <w:rPr>
          <w:iCs/>
          <w:i/>
        </w:rPr>
        <w:t xml:space="preserve">: Data used for final parameter identification</w:t>
      </w:r>
      <w:bookmarkStart w:id="table-5" w:name="table-5"/>
      <w:bookmarkEnd w:id="table-5"/>
    </w:p>
    <w:bookmarkEnd w:id="23"/>
    <w:bookmarkEnd w:id="24"/>
    <w:bookmarkStart w:id="30"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5" w:name="absorption"/>
    <w:p>
      <w:pPr>
        <w:pStyle w:val="Heading3"/>
      </w:pPr>
      <w:r>
        <w:t xml:space="preserve">2.3.1 Absorption</w:t>
      </w:r>
    </w:p>
    <w:p>
      <w:pPr>
        <w:pStyle w:val="FirstParagraph"/>
      </w:pPr>
      <w:r>
        <w:t xml:space="preserve">The model parameter</w:t>
      </w:r>
      <w:r>
        <w:t xml:space="preserve"> </w:t>
      </w:r>
      <w:r>
        <w:rPr>
          <w:rStyle w:val="VerbatimChar"/>
        </w:rPr>
        <w:t xml:space="preserve">Specific intestinal permeability</w:t>
      </w:r>
      <w:r>
        <w:t xml:space="preserve"> </w:t>
      </w:r>
      <w:r>
        <w:t xml:space="preserve">for S-omeprazole was optimized to best match clinical data (see</w:t>
      </w:r>
      <w:r>
        <w:t xml:space="preserve"> </w:t>
      </w:r>
      <w:hyperlink w:anchor="X05e2fd9d2318e5c56a9c57cdc7e48acff331d27">
        <w:r>
          <w:rPr>
            <w:rStyle w:val="Hyperlink"/>
          </w:rPr>
          <w:t xml:space="preserve">Section 2.3.4</w:t>
        </w:r>
      </w:hyperlink>
      <w:r>
        <w:t xml:space="preserve">). The same parameter value was assumed for R-omeprazole.</w:t>
      </w:r>
    </w:p>
    <w:p>
      <w:pPr>
        <w:pStyle w:val="BodyText"/>
      </w:pPr>
      <w:r>
        <w:t xml:space="preserve">The dissolution of the capsule formulation was implemented via an empirical Weibull dissolution equation with parameters</w:t>
      </w:r>
      <w:r>
        <w:t xml:space="preserve"> </w:t>
      </w:r>
      <w:r>
        <w:rPr>
          <w:rStyle w:val="VerbatimChar"/>
        </w:rPr>
        <w:t xml:space="preserve">Dissolution time (50% dissolved)</w:t>
      </w:r>
      <w:r>
        <w:t xml:space="preserve"> </w:t>
      </w:r>
      <w:r>
        <w:t xml:space="preserve">and</w:t>
      </w:r>
      <w:r>
        <w:t xml:space="preserve"> </w:t>
      </w:r>
      <w:r>
        <w:rPr>
          <w:rStyle w:val="VerbatimChar"/>
        </w:rPr>
        <w:t xml:space="preserve">Dissolution shape</w:t>
      </w:r>
      <w:r>
        <w:t xml:space="preserve"> </w:t>
      </w:r>
      <w:r>
        <w:t xml:space="preserve">fitted to observed data. A</w:t>
      </w:r>
      <w:r>
        <w:t xml:space="preserve"> </w:t>
      </w:r>
      <w:r>
        <w:rPr>
          <w:rStyle w:val="VerbatimChar"/>
        </w:rPr>
        <w:t xml:space="preserve">Lag time</w:t>
      </w:r>
      <w:r>
        <w:t xml:space="preserve"> </w:t>
      </w:r>
      <w:r>
        <w:t xml:space="preserve">= 30 min was used to account for the gastric emptying time.</w:t>
      </w:r>
    </w:p>
    <w:bookmarkEnd w:id="25"/>
    <w:bookmarkStart w:id="26" w:name="distribution"/>
    <w:p>
      <w:pPr>
        <w:pStyle w:val="Heading3"/>
      </w:pPr>
      <w:r>
        <w:t xml:space="preserve">2.3.2 Distribution</w:t>
      </w:r>
    </w:p>
    <w:p>
      <w:pPr>
        <w:pStyle w:val="FirstParagraph"/>
      </w:pPr>
      <w:r>
        <w:t xml:space="preserve">Physico-chemical parameter values of S- and R-omeprazole were set to the reported values (see</w:t>
      </w:r>
      <w:r>
        <w:t xml:space="preserve"> </w:t>
      </w:r>
      <w:hyperlink w:anchor="X63598919d7fab7e51e201e8db58061e8fc5e9b5">
        <w:r>
          <w:rPr>
            <w:rStyle w:val="Hyperlink"/>
          </w:rPr>
          <w:t xml:space="preserve">Section 2.2.1</w:t>
        </w:r>
      </w:hyperlink>
      <w:r>
        <w:t xml:space="preserve">) except for lipophilicity of S-omeprazole, which was estimated with i.v. data. It was assumed that the major binding partner in plasma is albumin.</w:t>
      </w:r>
    </w:p>
    <w:p>
      <w:pPr>
        <w:pStyle w:val="BodyText"/>
      </w:pPr>
      <w:r>
        <w:t xml:space="preserve">After testing the available organ-plasma partition coefficient and cell permeability calculation methods available in PK-Sim, observed clinical data were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odyText"/>
      </w:pPr>
      <w:r>
        <w:t xml:space="preserve">The same distribution model and parameter values were assumed for R-omeprazole, as no i.v. data are available for R-omeprazole.</w:t>
      </w:r>
    </w:p>
    <w:bookmarkEnd w:id="26"/>
    <w:bookmarkStart w:id="27" w:name="metabolism-and-elimination"/>
    <w:p>
      <w:pPr>
        <w:pStyle w:val="Heading3"/>
      </w:pPr>
      <w:r>
        <w:t xml:space="preserve">2.3.3 Metabolism and Elimination</w:t>
      </w:r>
    </w:p>
    <w:p>
      <w:pPr>
        <w:pStyle w:val="FirstParagraph"/>
      </w:pPr>
      <w:r>
        <w:t xml:space="preserve">Two linear metabolic pathways for S- and R-omeprazole were implement in the model:</w:t>
      </w:r>
    </w:p>
    <w:p>
      <w:pPr>
        <w:numPr>
          <w:ilvl w:val="0"/>
          <w:numId w:val="1004"/>
        </w:numPr>
        <w:pStyle w:val="Compact"/>
      </w:pPr>
      <w:r>
        <w:t xml:space="preserve">CYP2C19</w:t>
      </w:r>
    </w:p>
    <w:p>
      <w:pPr>
        <w:numPr>
          <w:ilvl w:val="0"/>
          <w:numId w:val="1004"/>
        </w:numPr>
        <w:pStyle w:val="Compact"/>
      </w:pPr>
      <w:r>
        <w:t xml:space="preserve">CYP3A4</w:t>
      </w:r>
    </w:p>
    <w:p>
      <w:pPr>
        <w:pStyle w:val="FirstParagraph"/>
      </w:pPr>
      <w:r>
        <w:t xml:space="preserve">To describe multiple dose oral solution data, time-dependent autoinhibition (TDI) on CYP2C19 was added as irreversible inhibition / Mechanism-based inactivation as described by</w:t>
      </w:r>
      <w:r>
        <w:t xml:space="preserve"> </w:t>
      </w:r>
      <w:hyperlink w:anchor="Xa559bd5247f9128e74e6edcc17de37648e8cde6">
        <w:r>
          <w:rPr>
            <w:rStyle w:val="Hyperlink"/>
          </w:rPr>
          <w:t xml:space="preserve">Wu 2014</w:t>
        </w:r>
      </w:hyperlink>
      <w:r>
        <w:t xml:space="preserve">.</w:t>
      </w:r>
    </w:p>
    <w:p>
      <w:pPr>
        <w:pStyle w:val="BodyText"/>
      </w:pPr>
      <w:r>
        <w:t xml:space="preserve">Competitive inhibition of CYP2C19 by both isomers was implemented in addition to TDI (</w:t>
      </w:r>
      <w:hyperlink w:anchor="Xa559bd5247f9128e74e6edcc17de37648e8cde6">
        <w:r>
          <w:rPr>
            <w:rStyle w:val="Hyperlink"/>
          </w:rPr>
          <w:t xml:space="preserve">Liu 2005</w:t>
        </w:r>
      </w:hyperlink>
      <w:r>
        <w:t xml:space="preserve">).</w:t>
      </w:r>
    </w:p>
    <w:p>
      <w:pPr>
        <w:pStyle w:val="BodyText"/>
      </w:pPr>
      <w:r>
        <w:t xml:space="preserve">Simulation results suggested that the expression of CYP2C19 isoenzymes in the GI tract as provided by the RT-PCR PK-Sim database is significantly preventing R-omeprazole from entering the circulation. This was less apparent for S-omeprazole. To note, while the absolute mean CYP3A4 abundance in liver (1.03e7 pmol per liver) and the intestinal/liver CYP3A4 ratio in PK-Sim default individual are similar to values used in other models, the relative intestinal CYP2C19 and CYP2D6 abundances differ (</w:t>
      </w:r>
      <w:hyperlink w:anchor="table-6">
        <w:r>
          <w:rPr>
            <w:rStyle w:val="Hyperlink"/>
          </w:rPr>
          <w:t xml:space="preserve">Table 6</w:t>
        </w:r>
      </w:hyperlink>
      <w:r>
        <w:t xml:space="preserve">). The relative expression of CYP2C19 in gut was therefore reduced according to</w:t>
      </w:r>
      <w:r>
        <w:t xml:space="preserve"> </w:t>
      </w:r>
      <w:hyperlink w:anchor="Xa559bd5247f9128e74e6edcc17de37648e8cde6">
        <w:r>
          <w:rPr>
            <w:rStyle w:val="Hyperlink"/>
          </w:rPr>
          <w:t xml:space="preserve">Olivares-Morales 2016</w:t>
        </w:r>
      </w:hyperlink>
      <w:r>
        <w:t xml:space="preserve"> </w:t>
      </w:r>
      <w:r>
        <w:t xml:space="preserve">for the final model.</w:t>
      </w:r>
    </w:p>
    <w:tbl>
      <w:tblPr>
        <w:tblStyle w:val="Table"/>
        <w:tblW w:type="pct" w:w="5000"/>
        <w:tblLook w:firstRow="1" w:lastRow="0" w:firstColumn="0" w:lastColumn="0" w:noHBand="0" w:noVBand="0" w:val="0020"/>
        <w:jc w:val="start"/>
      </w:tblPr>
      <w:tblGrid>
        <w:gridCol w:w="1314"/>
        <w:gridCol w:w="1774"/>
        <w:gridCol w:w="1873"/>
        <w:gridCol w:w="460"/>
        <w:gridCol w:w="525"/>
        <w:gridCol w:w="1971"/>
      </w:tblGrid>
      <w:tr>
        <w:trPr>
          <w:tblHeader w:val="true"/>
        </w:trPr>
        <w:tc>
          <w:tcPr/>
          <w:p>
            <w:pPr>
              <w:pStyle w:val="Compact"/>
              <w:jc w:val="left"/>
            </w:pPr>
            <w:r>
              <w:rPr>
                <w:bCs/>
                <w:b/>
              </w:rPr>
              <w:t xml:space="preserve">Ratio</w:t>
            </w:r>
          </w:p>
        </w:tc>
        <w:tc>
          <w:tcPr/>
          <w:p>
            <w:pPr>
              <w:pStyle w:val="Compact"/>
              <w:jc w:val="left"/>
            </w:pPr>
            <w:hyperlink w:anchor="Xa559bd5247f9128e74e6edcc17de37648e8cde6">
              <w:r>
                <w:rPr>
                  <w:rStyle w:val="Hyperlink"/>
                  <w:bCs/>
                  <w:b/>
                </w:rPr>
                <w:t xml:space="preserve">Olivares-Morales 2016</w:t>
              </w:r>
            </w:hyperlink>
            <w:r>
              <w:rPr>
                <w:vertAlign w:val="superscript"/>
              </w:rPr>
              <w:t xml:space="preserve">1</w:t>
            </w:r>
          </w:p>
        </w:tc>
        <w:tc>
          <w:tcPr/>
          <w:p>
            <w:pPr>
              <w:pStyle w:val="Compact"/>
              <w:jc w:val="left"/>
            </w:pPr>
            <w:hyperlink w:anchor="Xa559bd5247f9128e74e6edcc17de37648e8cde6">
              <w:r>
                <w:rPr>
                  <w:rStyle w:val="Hyperlink"/>
                  <w:bCs/>
                  <w:b/>
                </w:rPr>
                <w:t xml:space="preserve">Galetin and Houston 2006</w:t>
              </w:r>
            </w:hyperlink>
            <w:r>
              <w:rPr>
                <w:vertAlign w:val="superscript"/>
              </w:rPr>
              <w:t xml:space="preserve">2</w:t>
            </w:r>
          </w:p>
        </w:tc>
        <w:tc>
          <w:tcPr/>
          <w:p>
            <w:pPr>
              <w:pStyle w:val="Compact"/>
              <w:jc w:val="left"/>
            </w:pPr>
            <w:r>
              <w:rPr>
                <w:bCs/>
                <w:b/>
              </w:rPr>
              <w:t xml:space="preserve">GastroPlus</w:t>
            </w:r>
          </w:p>
        </w:tc>
        <w:tc>
          <w:tcPr/>
          <w:p>
            <w:pPr>
              <w:pStyle w:val="Compact"/>
              <w:jc w:val="left"/>
            </w:pPr>
            <w:r>
              <w:rPr>
                <w:bCs/>
                <w:b/>
              </w:rPr>
              <w:t xml:space="preserve">RT-PCR PK-Sim</w:t>
            </w:r>
          </w:p>
        </w:tc>
        <w:tc>
          <w:tcPr/>
          <w:p>
            <w:pPr>
              <w:pStyle w:val="Compact"/>
              <w:jc w:val="left"/>
            </w:pPr>
            <w:r>
              <w:rPr>
                <w:bCs/>
                <w:b/>
              </w:rPr>
              <w:t xml:space="preserve">Comment</w:t>
            </w:r>
          </w:p>
        </w:tc>
      </w:tr>
      <w:tr>
        <w:tc>
          <w:tcPr/>
          <w:p>
            <w:pPr>
              <w:pStyle w:val="Compact"/>
              <w:jc w:val="left"/>
            </w:pPr>
            <w:r>
              <w:t xml:space="preserve">CYP3A4/2C19 relative abundance liver</w:t>
            </w:r>
          </w:p>
        </w:tc>
        <w:tc>
          <w:tcPr/>
          <w:p>
            <w:pPr>
              <w:pStyle w:val="Compact"/>
              <w:jc w:val="left"/>
            </w:pPr>
            <w:r>
              <w:t xml:space="preserve">9.8</w:t>
            </w:r>
          </w:p>
        </w:tc>
        <w:tc>
          <w:tcPr/>
          <w:p>
            <w:pPr>
              <w:pStyle w:val="Compact"/>
              <w:jc w:val="left"/>
            </w:pPr>
            <w:r>
              <w:t xml:space="preserve">11.1</w:t>
            </w:r>
          </w:p>
        </w:tc>
        <w:tc>
          <w:tcPr/>
          <w:p>
            <w:pPr>
              <w:pStyle w:val="Compact"/>
              <w:jc w:val="left"/>
            </w:pPr>
            <w:r>
              <w:t xml:space="preserve">8.1</w:t>
            </w:r>
          </w:p>
        </w:tc>
        <w:tc>
          <w:tcPr/>
          <w:p>
            <w:pPr>
              <w:pStyle w:val="Compact"/>
              <w:jc w:val="left"/>
            </w:pPr>
            <w:r>
              <w:t xml:space="preserve">5.68</w:t>
            </w:r>
          </w:p>
        </w:tc>
        <w:tc>
          <w:tcPr/>
          <w:p>
            <w:pPr>
              <w:pStyle w:val="Compact"/>
              <w:jc w:val="left"/>
            </w:pPr>
            <w:r>
              <w:t xml:space="preserve">CYP2C19 abundance in liver 1.8-fold higher than other literature sources</w:t>
            </w:r>
          </w:p>
        </w:tc>
      </w:tr>
      <w:tr>
        <w:tc>
          <w:tcPr/>
          <w:p>
            <w:pPr>
              <w:pStyle w:val="Compact"/>
              <w:jc w:val="left"/>
            </w:pPr>
            <w:r>
              <w:t xml:space="preserve">CYP3A4/2C19 relative abundance intestine</w:t>
            </w:r>
          </w:p>
        </w:tc>
        <w:tc>
          <w:tcPr/>
          <w:p>
            <w:pPr>
              <w:pStyle w:val="Compact"/>
              <w:jc w:val="left"/>
            </w:pPr>
            <w:r>
              <w:t xml:space="preserve">43.8</w:t>
            </w:r>
          </w:p>
        </w:tc>
        <w:tc>
          <w:tcPr/>
          <w:p>
            <w:pPr>
              <w:pStyle w:val="Compact"/>
              <w:jc w:val="left"/>
            </w:pPr>
            <w:r>
              <w:t xml:space="preserve">43.0</w:t>
            </w:r>
          </w:p>
        </w:tc>
        <w:tc>
          <w:tcPr/>
          <w:p>
            <w:pPr>
              <w:pStyle w:val="Compact"/>
              <w:jc w:val="left"/>
            </w:pPr>
            <w:r>
              <w:t xml:space="preserve">-</w:t>
            </w:r>
          </w:p>
        </w:tc>
        <w:tc>
          <w:tcPr/>
          <w:p>
            <w:pPr>
              <w:pStyle w:val="Compact"/>
              <w:jc w:val="left"/>
            </w:pPr>
            <w:r>
              <w:t xml:space="preserve">1.28</w:t>
            </w:r>
          </w:p>
        </w:tc>
        <w:tc>
          <w:tcPr/>
          <w:p>
            <w:pPr>
              <w:pStyle w:val="Compact"/>
              <w:jc w:val="left"/>
            </w:pPr>
            <w:r>
              <w:t xml:space="preserve">CYP2C19 abundance in intestine 22-fold higher than other literature sources</w:t>
            </w:r>
          </w:p>
        </w:tc>
      </w:tr>
      <w:tr>
        <w:tc>
          <w:tcPr/>
          <w:p>
            <w:pPr>
              <w:pStyle w:val="Compact"/>
              <w:jc w:val="left"/>
            </w:pPr>
            <w:r>
              <w:t xml:space="preserve">CYP3A4/2D6 relative abundance liver</w:t>
            </w:r>
          </w:p>
        </w:tc>
        <w:tc>
          <w:tcPr/>
          <w:p>
            <w:pPr>
              <w:pStyle w:val="Compact"/>
              <w:jc w:val="left"/>
            </w:pPr>
            <w:r>
              <w:t xml:space="preserve">17.1</w:t>
            </w:r>
          </w:p>
        </w:tc>
        <w:tc>
          <w:tcPr/>
          <w:p>
            <w:pPr>
              <w:pStyle w:val="Compact"/>
              <w:jc w:val="left"/>
            </w:pPr>
            <w:r>
              <w:t xml:space="preserve">19.4</w:t>
            </w:r>
          </w:p>
        </w:tc>
        <w:tc>
          <w:tcPr/>
          <w:p>
            <w:pPr>
              <w:pStyle w:val="Compact"/>
              <w:jc w:val="left"/>
            </w:pPr>
            <w:r>
              <w:t xml:space="preserve">14.2</w:t>
            </w:r>
          </w:p>
        </w:tc>
        <w:tc>
          <w:tcPr/>
          <w:p>
            <w:pPr>
              <w:pStyle w:val="Compact"/>
              <w:jc w:val="left"/>
            </w:pPr>
            <w:r>
              <w:t xml:space="preserve">10.80</w:t>
            </w:r>
          </w:p>
        </w:tc>
        <w:tc>
          <w:tcPr/>
          <w:p>
            <w:pPr>
              <w:pStyle w:val="Compact"/>
              <w:jc w:val="left"/>
            </w:pPr>
            <w:r>
              <w:t xml:space="preserve">CYP2D6 abundance in liver 1.6-fold higher than other literature sources</w:t>
            </w:r>
          </w:p>
        </w:tc>
      </w:tr>
      <w:tr>
        <w:tc>
          <w:tcPr/>
          <w:p>
            <w:pPr>
              <w:pStyle w:val="Compact"/>
              <w:jc w:val="left"/>
            </w:pPr>
            <w:r>
              <w:t xml:space="preserve">CYP3A4/2D6 relative abundance intestine</w:t>
            </w:r>
          </w:p>
        </w:tc>
        <w:tc>
          <w:tcPr/>
          <w:p>
            <w:pPr>
              <w:pStyle w:val="Compact"/>
              <w:jc w:val="left"/>
            </w:pPr>
            <w:r>
              <w:t xml:space="preserve">83.8</w:t>
            </w:r>
          </w:p>
        </w:tc>
        <w:tc>
          <w:tcPr/>
          <w:p>
            <w:pPr>
              <w:pStyle w:val="Compact"/>
              <w:jc w:val="left"/>
            </w:pPr>
            <w:r>
              <w:t xml:space="preserve">86.0</w:t>
            </w:r>
          </w:p>
        </w:tc>
        <w:tc>
          <w:tcPr/>
          <w:p>
            <w:pPr>
              <w:pStyle w:val="Compact"/>
              <w:jc w:val="left"/>
            </w:pPr>
            <w:r>
              <w:t xml:space="preserve">-</w:t>
            </w:r>
          </w:p>
        </w:tc>
        <w:tc>
          <w:tcPr/>
          <w:p>
            <w:pPr>
              <w:pStyle w:val="Compact"/>
              <w:jc w:val="left"/>
            </w:pPr>
            <w:r>
              <w:t xml:space="preserve">8.64</w:t>
            </w:r>
          </w:p>
        </w:tc>
        <w:tc>
          <w:tcPr/>
          <w:p>
            <w:pPr>
              <w:pStyle w:val="Compact"/>
              <w:jc w:val="left"/>
            </w:pPr>
            <w:r>
              <w:t xml:space="preserve">CYP2D6 abundance in intestine 6-fold higher than other literature sources</w:t>
            </w:r>
          </w:p>
        </w:tc>
      </w:tr>
      <w:tr>
        <w:tc>
          <w:tcPr/>
          <w:p>
            <w:pPr>
              <w:pStyle w:val="Compact"/>
              <w:jc w:val="left"/>
            </w:pPr>
            <w:r>
              <w:t xml:space="preserve">CYP3A4 abundance Small intestine/liver</w:t>
            </w:r>
          </w:p>
        </w:tc>
        <w:tc>
          <w:tcPr/>
          <w:p>
            <w:pPr>
              <w:pStyle w:val="Compact"/>
              <w:jc w:val="left"/>
            </w:pPr>
            <w:r>
              <w:t xml:space="preserve">0.66%</w:t>
            </w:r>
          </w:p>
        </w:tc>
        <w:tc>
          <w:tcPr/>
          <w:p>
            <w:pPr>
              <w:pStyle w:val="Compact"/>
              <w:jc w:val="left"/>
            </w:pPr>
            <w:r>
              <w:t xml:space="preserve">-</w:t>
            </w:r>
          </w:p>
        </w:tc>
        <w:tc>
          <w:tcPr/>
          <w:p>
            <w:pPr>
              <w:pStyle w:val="Compact"/>
              <w:jc w:val="left"/>
            </w:pPr>
            <w:r>
              <w:t xml:space="preserve">-</w:t>
            </w:r>
          </w:p>
        </w:tc>
        <w:tc>
          <w:tcPr/>
          <w:p>
            <w:pPr>
              <w:pStyle w:val="Compact"/>
              <w:jc w:val="left"/>
            </w:pPr>
            <w:r>
              <w:t xml:space="preserve">0.44%</w:t>
            </w:r>
          </w:p>
        </w:tc>
        <w:tc>
          <w:tcPr/>
          <w:p>
            <w:pPr>
              <w:pStyle w:val="Compact"/>
              <w:jc w:val="left"/>
            </w:pPr>
            <w:r>
              <w:t xml:space="preserve">in range with literature</w:t>
            </w:r>
          </w:p>
        </w:tc>
      </w:tr>
      <w:tr>
        <w:tc>
          <w:tcPr/>
          <w:p>
            <w:pPr>
              <w:pStyle w:val="Compact"/>
              <w:jc w:val="left"/>
            </w:pPr>
            <w:r>
              <w:t xml:space="preserve">CYP2C19 abundance Small intestine/liver</w:t>
            </w:r>
          </w:p>
        </w:tc>
        <w:tc>
          <w:tcPr/>
          <w:p>
            <w:pPr>
              <w:pStyle w:val="Compact"/>
              <w:jc w:val="left"/>
            </w:pPr>
            <w:r>
              <w:t xml:space="preserve">0.15%</w:t>
            </w:r>
          </w:p>
        </w:tc>
        <w:tc>
          <w:tcPr/>
          <w:p>
            <w:pPr>
              <w:pStyle w:val="Compact"/>
              <w:jc w:val="left"/>
            </w:pPr>
            <w:r>
              <w:t xml:space="preserve">-</w:t>
            </w:r>
          </w:p>
        </w:tc>
        <w:tc>
          <w:tcPr/>
          <w:p>
            <w:pPr>
              <w:pStyle w:val="Compact"/>
              <w:jc w:val="left"/>
            </w:pPr>
            <w:r>
              <w:t xml:space="preserve">-</w:t>
            </w:r>
          </w:p>
        </w:tc>
        <w:tc>
          <w:tcPr/>
          <w:p>
            <w:pPr>
              <w:pStyle w:val="Compact"/>
              <w:jc w:val="left"/>
            </w:pPr>
            <w:r>
              <w:t xml:space="preserve">1.95%</w:t>
            </w:r>
          </w:p>
        </w:tc>
        <w:tc>
          <w:tcPr/>
          <w:p>
            <w:pPr>
              <w:pStyle w:val="Compact"/>
              <w:jc w:val="left"/>
            </w:pPr>
            <w:r>
              <w:t xml:space="preserve">23-fold higher than in literature</w:t>
            </w:r>
          </w:p>
        </w:tc>
      </w:tr>
      <w:tr>
        <w:tc>
          <w:tcPr/>
          <w:p>
            <w:pPr>
              <w:pStyle w:val="Compact"/>
              <w:jc w:val="left"/>
            </w:pPr>
            <w:r>
              <w:t xml:space="preserve">CYP2D6 Small intestine/liver</w:t>
            </w:r>
          </w:p>
        </w:tc>
        <w:tc>
          <w:tcPr/>
          <w:p>
            <w:pPr>
              <w:pStyle w:val="Compact"/>
              <w:jc w:val="left"/>
            </w:pPr>
            <w:r>
              <w:t xml:space="preserve">0.14%</w:t>
            </w:r>
          </w:p>
        </w:tc>
        <w:tc>
          <w:tcPr/>
          <w:p>
            <w:pPr>
              <w:pStyle w:val="Compact"/>
              <w:jc w:val="left"/>
            </w:pPr>
            <w:r>
              <w:t xml:space="preserve">-</w:t>
            </w:r>
          </w:p>
        </w:tc>
        <w:tc>
          <w:tcPr/>
          <w:p>
            <w:pPr>
              <w:pStyle w:val="Compact"/>
              <w:jc w:val="left"/>
            </w:pPr>
            <w:r>
              <w:t xml:space="preserve">-</w:t>
            </w:r>
          </w:p>
        </w:tc>
        <w:tc>
          <w:tcPr/>
          <w:p>
            <w:pPr>
              <w:pStyle w:val="Compact"/>
              <w:jc w:val="left"/>
            </w:pPr>
            <w:r>
              <w:t xml:space="preserve">0.55%</w:t>
            </w:r>
          </w:p>
        </w:tc>
        <w:tc>
          <w:tcPr/>
          <w:p>
            <w:pPr>
              <w:pStyle w:val="Compact"/>
              <w:jc w:val="left"/>
            </w:pPr>
            <w:r>
              <w:t xml:space="preserve">4-fold higher than in literature</w:t>
            </w:r>
          </w:p>
        </w:tc>
      </w:tr>
    </w:tbl>
    <w:p>
      <w:pPr>
        <w:pStyle w:val="BodyText"/>
      </w:pPr>
      <w:r>
        <w:rPr>
          <w:bCs/>
          <w:b/>
        </w:rPr>
        <w:t xml:space="preserve">Table 6:</w:t>
      </w:r>
      <w:r>
        <w:t xml:space="preserve"> </w:t>
      </w:r>
      <w:r>
        <w:t xml:space="preserve">Comparison of CYP3A4, CYP2C19 and CYP2D6 relative abundance in liver and small intestine from different literature sources.</w:t>
      </w:r>
      <w:r>
        <w:t xml:space="preserve"> </w:t>
      </w:r>
      <w:r>
        <w:rPr>
          <w:vertAlign w:val="superscript"/>
        </w:rPr>
        <w:t xml:space="preserve">1</w:t>
      </w:r>
      <w:r>
        <w:t xml:space="preserve"> </w:t>
      </w:r>
      <w:r>
        <w:t xml:space="preserve">Based on Sjörgen 2014: CYP relative expressions (pmol/mg_mic_p) from Paine 2006 calibrated against total intestinal CYP3A4 abundance.</w:t>
      </w:r>
      <w:r>
        <w:t xml:space="preserve"> </w:t>
      </w:r>
      <w:r>
        <w:rPr>
          <w:vertAlign w:val="superscript"/>
        </w:rPr>
        <w:t xml:space="preserve">2</w:t>
      </w:r>
      <w:r>
        <w:t xml:space="preserve"> </w:t>
      </w:r>
      <w:r>
        <w:t xml:space="preserve">Mean hepatic and intestinal relative abundance based on Rowland and Yeo 2003 and Paine 2006</w:t>
      </w:r>
      <w:bookmarkStart w:id="table-6" w:name="table-6"/>
      <w:bookmarkEnd w:id="table-6"/>
    </w:p>
    <w:p>
      <w:pPr>
        <w:pStyle w:val="BodyText"/>
      </w:pPr>
      <w:r>
        <w:t xml:space="preserve">Additionally, renal plasma clearance was implemented (</w:t>
      </w:r>
      <w:hyperlink w:anchor="Xa559bd5247f9128e74e6edcc17de37648e8cde6">
        <w:r>
          <w:rPr>
            <w:rStyle w:val="Hyperlink"/>
          </w:rPr>
          <w:t xml:space="preserve">Wu 2014</w:t>
        </w:r>
      </w:hyperlink>
      <w:r>
        <w:t xml:space="preserve">).</w:t>
      </w:r>
    </w:p>
    <w:bookmarkEnd w:id="27"/>
    <w:bookmarkStart w:id="28" w:name="observer-for-racemic-omeprazole"/>
    <w:p>
      <w:pPr>
        <w:pStyle w:val="Heading3"/>
      </w:pPr>
      <w:r>
        <w:t xml:space="preserve">2.3.4 Observer for racemic omeprazole</w:t>
      </w:r>
    </w:p>
    <w:p>
      <w:pPr>
        <w:pStyle w:val="FirstParagraph"/>
      </w:pPr>
      <w:r>
        <w:t xml:space="preserve">Omeprazole concentrations in peripheral venous blood plasma at any specific time points were obtained by adding the simulated concentrations of two enantiomers together at the corresponding time points to generate the omeprazole PK profiles, according to the following formula:</w:t>
      </w:r>
    </w:p>
    <w:p>
      <w:pPr>
        <w:pStyle w:val="BodyText"/>
      </w:pPr>
      <w:r>
        <w:rPr>
          <w:iCs/>
          <w:i/>
        </w:rPr>
        <w:t xml:space="preserve">fQ_art*(C_pls_art_Eso+C_pls_art_R_O) +fQ_bon*(C_pls_bon_Eso+C_pls_bon_R_O)+fQ_fat*(C_pls_fat_Eso + C_pls_fat_R_O)+fQ_mus*(C_pls_mus_Eso + C_pls_mus_R_O) +fQ_skn*(C_pls_skn_Eso + C_pls_skn_R_O)</w:t>
      </w:r>
    </w:p>
    <w:p>
      <w:pPr>
        <w:pStyle w:val="BodyText"/>
      </w:pPr>
      <w:r>
        <w:t xml:space="preserve">where</w:t>
      </w:r>
      <w:r>
        <w:t xml:space="preserve"> </w:t>
      </w:r>
      <w:r>
        <w:rPr>
          <w:iCs/>
          <w:i/>
        </w:rPr>
        <w:t xml:space="preserve">fQ_</w:t>
      </w:r>
      <w:r>
        <w:t xml:space="preserve"> </w:t>
      </w:r>
      <w:r>
        <w:t xml:space="preserve">are fraction of blood flow and</w:t>
      </w:r>
      <w:r>
        <w:t xml:space="preserve"> </w:t>
      </w:r>
      <w:r>
        <w:rPr>
          <w:iCs/>
          <w:i/>
        </w:rPr>
        <w:t xml:space="preserve">C_pls_</w:t>
      </w:r>
      <w:r>
        <w:t xml:space="preserve"> </w:t>
      </w:r>
      <w:r>
        <w:t xml:space="preserve">concentrations in plasma compartment respectively in the arterial (</w:t>
      </w:r>
      <w:r>
        <w:rPr>
          <w:iCs/>
          <w:i/>
        </w:rPr>
        <w:t xml:space="preserve">art</w:t>
      </w:r>
      <w:r>
        <w:t xml:space="preserve">), bone (</w:t>
      </w:r>
      <w:r>
        <w:rPr>
          <w:iCs/>
          <w:i/>
        </w:rPr>
        <w:t xml:space="preserve">bon</w:t>
      </w:r>
      <w:r>
        <w:t xml:space="preserve">), fat (</w:t>
      </w:r>
      <w:r>
        <w:rPr>
          <w:iCs/>
          <w:i/>
        </w:rPr>
        <w:t xml:space="preserve">fat</w:t>
      </w:r>
      <w:r>
        <w:t xml:space="preserve">), muscle (</w:t>
      </w:r>
      <w:r>
        <w:rPr>
          <w:iCs/>
          <w:i/>
        </w:rPr>
        <w:t xml:space="preserve">mus</w:t>
      </w:r>
      <w:r>
        <w:t xml:space="preserve">) or skin (</w:t>
      </w:r>
      <w:r>
        <w:rPr>
          <w:iCs/>
          <w:i/>
        </w:rPr>
        <w:t xml:space="preserve">skn</w:t>
      </w:r>
      <w:r>
        <w:t xml:space="preserve">) tissues.</w:t>
      </w:r>
      <w:r>
        <w:t xml:space="preserve"> </w:t>
      </w:r>
      <w:r>
        <w:rPr>
          <w:iCs/>
          <w:i/>
        </w:rPr>
        <w:t xml:space="preserve">Eso</w:t>
      </w:r>
      <w:r>
        <w:t xml:space="preserve"> </w:t>
      </w:r>
      <w:r>
        <w:t xml:space="preserve">and</w:t>
      </w:r>
      <w:r>
        <w:t xml:space="preserve"> </w:t>
      </w:r>
      <w:r>
        <w:rPr>
          <w:iCs/>
          <w:i/>
        </w:rPr>
        <w:t xml:space="preserve">R_O</w:t>
      </w:r>
      <w:r>
        <w:t xml:space="preserve"> </w:t>
      </w:r>
      <w:r>
        <w:t xml:space="preserve">stand for S- and R-omeprazole respectively.</w:t>
      </w:r>
    </w:p>
    <w:bookmarkEnd w:id="28"/>
    <w:bookmarkStart w:id="29" w:name="automated-parameter-identification"/>
    <w:p>
      <w:pPr>
        <w:pStyle w:val="Heading3"/>
      </w:pPr>
      <w:r>
        <w:t xml:space="preserve">2.3.5 Automated Parameter Identification</w:t>
      </w:r>
    </w:p>
    <w:p>
      <w:pPr>
        <w:pStyle w:val="FirstParagraph"/>
      </w:pPr>
      <w:r>
        <w:t xml:space="preserve">Following parameter values were estimated for the base model: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Parameter</w:t>
            </w:r>
          </w:p>
        </w:tc>
        <w:tc>
          <w:tcPr/>
          <w:p>
            <w:pPr>
              <w:pStyle w:val="Compact"/>
              <w:jc w:val="left"/>
            </w:pPr>
            <w:r>
              <w:rPr>
                <w:bCs/>
                <w:b/>
              </w:rPr>
              <w:t xml:space="preserve">Compound</w:t>
            </w:r>
          </w:p>
        </w:tc>
      </w:tr>
      <w:tr>
        <w:tc>
          <w:tcPr/>
          <w:p>
            <w:pPr>
              <w:pStyle w:val="Compact"/>
              <w:jc w:val="left"/>
            </w:pPr>
            <w:r>
              <w:t xml:space="preserve">Lipophilicity</w:t>
            </w:r>
          </w:p>
        </w:tc>
        <w:tc>
          <w:tcPr/>
          <w:p>
            <w:pPr>
              <w:pStyle w:val="Compact"/>
              <w:jc w:val="left"/>
            </w:pPr>
            <w:r>
              <w:t xml:space="preserve">S-Omeprazole</w:t>
            </w:r>
          </w:p>
        </w:tc>
      </w:tr>
      <w:tr>
        <w:tc>
          <w:tcPr/>
          <w:p>
            <w:pPr>
              <w:pStyle w:val="Compact"/>
              <w:jc w:val="left"/>
            </w:pPr>
            <w:r>
              <w:t xml:space="preserve">Specific intestinal permeability (transcellular)</w:t>
            </w:r>
          </w:p>
        </w:tc>
        <w:tc>
          <w:tcPr/>
          <w:p>
            <w:pPr>
              <w:pStyle w:val="Compact"/>
              <w:jc w:val="left"/>
            </w:pPr>
            <w:r>
              <w:t xml:space="preserve">S-Omeprazole</w:t>
            </w:r>
          </w:p>
        </w:tc>
      </w:tr>
      <w:tr>
        <w:tc>
          <w:tcPr/>
          <w:p>
            <w:pPr>
              <w:pStyle w:val="Compact"/>
              <w:jc w:val="left"/>
            </w:pPr>
            <w:r>
              <w:t xml:space="preserve">Dissolution time (Weibull)</w:t>
            </w:r>
          </w:p>
        </w:tc>
        <w:tc>
          <w:tcPr/>
          <w:p>
            <w:pPr>
              <w:pStyle w:val="Compact"/>
              <w:jc w:val="left"/>
            </w:pPr>
            <w:r>
              <w:t xml:space="preserve">S-Omeprazole</w:t>
            </w:r>
          </w:p>
        </w:tc>
      </w:tr>
      <w:tr>
        <w:tc>
          <w:tcPr/>
          <w:p>
            <w:pPr>
              <w:pStyle w:val="Compact"/>
              <w:jc w:val="left"/>
            </w:pPr>
            <w:r>
              <w:t xml:space="preserve">Dissolution shape (Weibull)</w:t>
            </w:r>
          </w:p>
        </w:tc>
        <w:tc>
          <w:tcPr/>
          <w:p>
            <w:pPr>
              <w:pStyle w:val="Compact"/>
              <w:jc w:val="left"/>
            </w:pPr>
            <w:r>
              <w:t xml:space="preserve">S-Omeprazole</w:t>
            </w:r>
          </w:p>
        </w:tc>
      </w:tr>
      <w:tr>
        <w:tc>
          <w:tcPr/>
          <w:p>
            <w:pPr>
              <w:pStyle w:val="Compact"/>
              <w:jc w:val="left"/>
            </w:pPr>
            <w:r>
              <w:t xml:space="preserve">Specific CL_2C19</w:t>
            </w:r>
          </w:p>
        </w:tc>
        <w:tc>
          <w:tcPr/>
          <w:p>
            <w:pPr>
              <w:pStyle w:val="Compact"/>
              <w:jc w:val="left"/>
            </w:pPr>
            <w:r>
              <w:t xml:space="preserve">S-Omeprazole</w:t>
            </w:r>
          </w:p>
        </w:tc>
      </w:tr>
      <w:tr>
        <w:tc>
          <w:tcPr/>
          <w:p>
            <w:pPr>
              <w:pStyle w:val="Compact"/>
              <w:jc w:val="left"/>
            </w:pPr>
            <w:r>
              <w:t xml:space="preserve">Specific CL_2C19</w:t>
            </w:r>
          </w:p>
        </w:tc>
        <w:tc>
          <w:tcPr/>
          <w:p>
            <w:pPr>
              <w:pStyle w:val="Compact"/>
              <w:jc w:val="left"/>
            </w:pPr>
            <w:r>
              <w:t xml:space="preserve">R-Omeprazole</w:t>
            </w:r>
          </w:p>
        </w:tc>
      </w:tr>
      <w:tr>
        <w:tc>
          <w:tcPr/>
          <w:p>
            <w:pPr>
              <w:pStyle w:val="Compact"/>
              <w:jc w:val="left"/>
            </w:pPr>
            <w:r>
              <w:t xml:space="preserve">Specific CL_3A4</w:t>
            </w:r>
          </w:p>
        </w:tc>
        <w:tc>
          <w:tcPr/>
          <w:p>
            <w:pPr>
              <w:pStyle w:val="Compact"/>
              <w:jc w:val="left"/>
            </w:pPr>
            <w:r>
              <w:t xml:space="preserve">S-Omeprazole</w:t>
            </w:r>
          </w:p>
        </w:tc>
      </w:tr>
      <w:tr>
        <w:tc>
          <w:tcPr/>
          <w:p>
            <w:pPr>
              <w:pStyle w:val="Compact"/>
              <w:jc w:val="left"/>
            </w:pPr>
            <w:r>
              <w:t xml:space="preserve">Specific CL_3A4</w:t>
            </w:r>
          </w:p>
        </w:tc>
        <w:tc>
          <w:tcPr/>
          <w:p>
            <w:pPr>
              <w:pStyle w:val="Compact"/>
              <w:jc w:val="left"/>
            </w:pPr>
            <w:r>
              <w:t xml:space="preserve">R-Omeprazole</w:t>
            </w:r>
          </w:p>
        </w:tc>
      </w:tr>
    </w:tbl>
    <w:bookmarkEnd w:id="29"/>
    <w:bookmarkEnd w:id="30"/>
    <w:bookmarkEnd w:id="31"/>
    <w:bookmarkStart w:id="193"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next sections show:</w:t>
      </w:r>
    </w:p>
    <w:p>
      <w:pPr>
        <w:numPr>
          <w:ilvl w:val="0"/>
          <w:numId w:val="1005"/>
        </w:numPr>
        <w:pStyle w:val="Compact"/>
      </w:pPr>
      <w:r>
        <w:t xml:space="preserve">Final model input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5"/>
        </w:numPr>
        <w:pStyle w:val="Compact"/>
      </w:pPr>
      <w:r>
        <w:t xml:space="preserve">Overall goodness of fit:</w:t>
      </w:r>
      <w:r>
        <w:t xml:space="preserve"> </w:t>
      </w:r>
      <w:hyperlink w:anchor="X8f3aeddcae968e1d328d29ba9adb7d6f485cab0">
        <w:r>
          <w:rPr>
            <w:rStyle w:val="Hyperlink"/>
          </w:rPr>
          <w:t xml:space="preserve">Section 3.2</w:t>
        </w:r>
      </w:hyperlink>
      <w:r>
        <w:t xml:space="preserve">.</w:t>
      </w:r>
    </w:p>
    <w:p>
      <w:pPr>
        <w:numPr>
          <w:ilvl w:val="0"/>
          <w:numId w:val="1005"/>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62"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parameter values of the final PBPK model are illustrated below.</w:t>
      </w:r>
    </w:p>
    <w:bookmarkStart w:id="45" w:name="compound-esomeprazole"/>
    <w:p>
      <w:pPr>
        <w:pStyle w:val="Heading3"/>
      </w:pPr>
      <w:r>
        <w:t xml:space="preserve">Compound: Esomeprazole</w:t>
      </w:r>
    </w:p>
    <w:bookmarkStart w:id="32" w:name="parameters"/>
    <w:p>
      <w:pPr>
        <w:pStyle w:val="Heading4"/>
      </w:pPr>
      <w:r>
        <w:t xml:space="preserve">Parameters</w:t>
      </w:r>
    </w:p>
    <w:tbl>
      <w:tblPr>
        <w:tblStyle w:val="Table"/>
        <w:tblW w:type="pct" w:w="5000"/>
        <w:tblLook w:firstRow="1" w:lastRow="0" w:firstColumn="0" w:lastColumn="0" w:noHBand="0" w:noVBand="0" w:val="0020"/>
        <w:jc w:val="start"/>
      </w:tblPr>
      <w:tblGrid>
        <w:gridCol w:w="2774"/>
        <w:gridCol w:w="1271"/>
        <w:gridCol w:w="2832"/>
        <w:gridCol w:w="635"/>
        <w:gridCol w:w="40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0.359 mg/ml</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7</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1.6835584938 Log Units</w:t>
            </w:r>
          </w:p>
        </w:tc>
        <w:tc>
          <w:tcPr/>
          <w:p>
            <w:pPr>
              <w:pStyle w:val="Compact"/>
              <w:jc w:val="left"/>
            </w:pPr>
            <w:r>
              <w:t xml:space="preserve">Parameter Identification-Parameter Identification</w:t>
            </w:r>
          </w:p>
        </w:tc>
        <w:tc>
          <w:tcPr/>
          <w:p>
            <w:pPr>
              <w:pStyle w:val="Compact"/>
              <w:jc w:val="left"/>
            </w:pPr>
            <w:r>
              <w:t xml:space="preserve">LogP fit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0.03</w:t>
            </w:r>
          </w:p>
        </w:tc>
        <w:tc>
          <w:tcPr/>
          <w:p>
            <w:pPr>
              <w:pStyle w:val="Compact"/>
              <w:jc w:val="left"/>
            </w:pPr>
            <w:r>
              <w:t xml:space="preserve">Database-DrugBank DB00338</w:t>
            </w:r>
          </w:p>
        </w:tc>
        <w:tc>
          <w:tcPr/>
          <w:p>
            <w:pPr>
              <w:pStyle w:val="Compact"/>
              <w:jc w:val="left"/>
            </w:pPr>
            <w:r>
              <w:t xml:space="preserve">Fu DrugBank</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9.79E-05 cm/min</w:t>
            </w:r>
          </w:p>
        </w:tc>
        <w:tc>
          <w:tcPr/>
          <w:p>
            <w:pPr>
              <w:pStyle w:val="Compact"/>
              <w:jc w:val="left"/>
            </w:pPr>
            <w:r>
              <w:t xml:space="preserve">Parameter Identification-Parameter Identification</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345.416 g/mol</w:t>
            </w:r>
          </w:p>
        </w:tc>
        <w:tc>
          <w:tcPr/>
          <w:p>
            <w:pPr>
              <w:pStyle w:val="Compact"/>
              <w:jc w:val="left"/>
            </w:pPr>
            <w:r>
              <w:t xml:space="preserve">Database-DrugBank DB00338</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2"/>
    <w:bookmarkStart w:id="33"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3"/>
    <w:bookmarkStart w:id="44" w:name="processes"/>
    <w:p>
      <w:pPr>
        <w:pStyle w:val="Heading4"/>
      </w:pPr>
      <w:r>
        <w:t xml:space="preserve">Processes</w:t>
      </w:r>
    </w:p>
    <w:bookmarkStart w:id="35" w:name="Xda0dc1a9b7c0b7b5c052d765482ca58922ee6f3"/>
    <w:p>
      <w:pPr>
        <w:pStyle w:val="Heading5"/>
      </w:pPr>
      <w:r>
        <w:t xml:space="preserve">Metabolizing Enzyme: CYP2C19-2C19 Linear Fit</w:t>
      </w:r>
    </w:p>
    <w:p>
      <w:pPr>
        <w:pStyle w:val="FirstParagraph"/>
      </w:pPr>
      <w:r>
        <w:t xml:space="preserve">Species: Human</w:t>
      </w:r>
    </w:p>
    <w:p>
      <w:pPr>
        <w:pStyle w:val="BodyText"/>
      </w:pPr>
      <w:r>
        <w:t xml:space="preserve">Molecule: CYP2C19</w:t>
      </w:r>
    </w:p>
    <w:bookmarkStart w:id="34" w:name="parameters-1"/>
    <w:p>
      <w:pPr>
        <w:pStyle w:val="Heading6"/>
      </w:pPr>
      <w:r>
        <w:t xml:space="preserve">Parameters</w:t>
      </w:r>
    </w:p>
    <w:tbl>
      <w:tblPr>
        <w:tblStyle w:val="Table"/>
        <w:tblW w:type="pct" w:w="5000"/>
        <w:tblLook w:firstRow="1" w:lastRow="0" w:firstColumn="0" w:lastColumn="0" w:noHBand="0" w:noVBand="0" w:val="0020"/>
        <w:jc w:val="start"/>
      </w:tblPr>
      <w:tblGrid>
        <w:gridCol w:w="1904"/>
        <w:gridCol w:w="1102"/>
        <w:gridCol w:w="49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13.98 1/min</w:t>
            </w:r>
          </w:p>
        </w:tc>
        <w:tc>
          <w:tcPr/>
          <w:p>
            <w:pPr>
              <w:pStyle w:val="Compact"/>
              <w:jc w:val="left"/>
            </w:pPr>
            <w:r>
              <w:t xml:space="preserve">Parameter Identification-Parameter Identification</w:t>
            </w:r>
          </w:p>
        </w:tc>
      </w:tr>
    </w:tbl>
    <w:bookmarkEnd w:id="34"/>
    <w:bookmarkEnd w:id="35"/>
    <w:bookmarkStart w:id="37" w:name="X6ea7fc615e365a63815cf38d63429fb2bb4e99c"/>
    <w:p>
      <w:pPr>
        <w:pStyle w:val="Heading5"/>
      </w:pPr>
      <w:r>
        <w:t xml:space="preserve">Metabolizing Enzyme: CYP3A4-3A4 Linear Fit</w:t>
      </w:r>
    </w:p>
    <w:p>
      <w:pPr>
        <w:pStyle w:val="FirstParagraph"/>
      </w:pPr>
      <w:r>
        <w:t xml:space="preserve">Species: Human</w:t>
      </w:r>
    </w:p>
    <w:p>
      <w:pPr>
        <w:pStyle w:val="BodyText"/>
      </w:pPr>
      <w:r>
        <w:t xml:space="preserve">Molecule: CYP3A4</w:t>
      </w:r>
    </w:p>
    <w:bookmarkStart w:id="36" w:name="parameters-2"/>
    <w:p>
      <w:pPr>
        <w:pStyle w:val="Heading6"/>
      </w:pPr>
      <w:r>
        <w:t xml:space="preserve">Parameters</w:t>
      </w:r>
    </w:p>
    <w:tbl>
      <w:tblPr>
        <w:tblStyle w:val="Table"/>
        <w:tblW w:type="pct" w:w="5000"/>
        <w:tblLook w:firstRow="1" w:lastRow="0" w:firstColumn="0" w:lastColumn="0" w:noHBand="0" w:noVBand="0" w:val="0020"/>
        <w:jc w:val="start"/>
      </w:tblPr>
      <w:tblGrid>
        <w:gridCol w:w="1749"/>
        <w:gridCol w:w="1657"/>
        <w:gridCol w:w="45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0.3707655759 1/min</w:t>
            </w:r>
          </w:p>
        </w:tc>
        <w:tc>
          <w:tcPr/>
          <w:p>
            <w:pPr>
              <w:pStyle w:val="Compact"/>
              <w:jc w:val="left"/>
            </w:pPr>
            <w:r>
              <w:t xml:space="preserve">Parameter Identification-Parameter Identification</w:t>
            </w:r>
          </w:p>
        </w:tc>
      </w:tr>
    </w:tbl>
    <w:bookmarkEnd w:id="36"/>
    <w:bookmarkEnd w:id="37"/>
    <w:bookmarkStart w:id="39" w:name="X41f99ee106ef8fb3f02865c14859dca62a15765"/>
    <w:p>
      <w:pPr>
        <w:pStyle w:val="Heading5"/>
      </w:pPr>
      <w:r>
        <w:t xml:space="preserve">Systemic Process: Renal Clearances-Wu2014 - Table1 - CLr</w:t>
      </w:r>
    </w:p>
    <w:p>
      <w:pPr>
        <w:pStyle w:val="FirstParagraph"/>
      </w:pPr>
      <w:r>
        <w:t xml:space="preserve">Species: Human</w:t>
      </w:r>
    </w:p>
    <w:bookmarkStart w:id="38" w:name="parameters-3"/>
    <w:p>
      <w:pPr>
        <w:pStyle w:val="Heading6"/>
      </w:pPr>
      <w:r>
        <w:t xml:space="preserve">Parameters</w:t>
      </w:r>
    </w:p>
    <w:tbl>
      <w:tblPr>
        <w:tblStyle w:val="Table"/>
        <w:tblW w:type="pct" w:w="5000"/>
        <w:tblLook w:firstRow="1" w:lastRow="0" w:firstColumn="0" w:lastColumn="0" w:noHBand="0" w:noVBand="0" w:val="0020"/>
        <w:jc w:val="start"/>
      </w:tblPr>
      <w:tblGrid>
        <w:gridCol w:w="3533"/>
        <w:gridCol w:w="1827"/>
        <w:gridCol w:w="2558"/>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Fraction unbound (experiment)</w:t>
            </w:r>
          </w:p>
        </w:tc>
        <w:tc>
          <w:tcPr/>
          <w:p>
            <w:pPr>
              <w:pStyle w:val="Compact"/>
              <w:jc w:val="left"/>
            </w:pPr>
            <w:r>
              <w:t xml:space="preserve">0.05</w:t>
            </w:r>
          </w:p>
        </w:tc>
        <w:tc>
          <w:tcPr/>
          <w:p>
            <w:pPr>
              <w:pStyle w:val="Compact"/>
            </w:pPr>
          </w:p>
        </w:tc>
      </w:tr>
      <w:tr>
        <w:tc>
          <w:tcPr/>
          <w:p>
            <w:pPr>
              <w:pStyle w:val="Compact"/>
              <w:jc w:val="left"/>
            </w:pPr>
            <w:r>
              <w:t xml:space="preserve">Plasma clearance</w:t>
            </w:r>
          </w:p>
        </w:tc>
        <w:tc>
          <w:tcPr/>
          <w:p>
            <w:pPr>
              <w:pStyle w:val="Compact"/>
              <w:jc w:val="left"/>
            </w:pPr>
            <w:r>
              <w:t xml:space="preserve">0.000507 l/h/kg</w:t>
            </w:r>
          </w:p>
        </w:tc>
        <w:tc>
          <w:tcPr/>
          <w:p>
            <w:pPr>
              <w:pStyle w:val="Compact"/>
              <w:jc w:val="left"/>
            </w:pPr>
            <w:r>
              <w:t xml:space="preserve">Unknown-0.037l/h/73kg</w:t>
            </w:r>
          </w:p>
        </w:tc>
      </w:tr>
    </w:tbl>
    <w:bookmarkEnd w:id="38"/>
    <w:bookmarkEnd w:id="39"/>
    <w:bookmarkStart w:id="41" w:name="Xf86593819b88ab40482aa43b4af02f95d460ac3"/>
    <w:p>
      <w:pPr>
        <w:pStyle w:val="Heading5"/>
      </w:pPr>
      <w:r>
        <w:t xml:space="preserve">Inhibition: CYP2C19-Liu 2005 - Ki in vivo unbound</w:t>
      </w:r>
    </w:p>
    <w:p>
      <w:pPr>
        <w:pStyle w:val="FirstParagraph"/>
      </w:pPr>
      <w:r>
        <w:t xml:space="preserve">Molecule: CYP2C19</w:t>
      </w:r>
    </w:p>
    <w:bookmarkStart w:id="40" w:name="parameters-4"/>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3.1 µmol/l</w:t>
            </w:r>
          </w:p>
        </w:tc>
        <w:tc>
          <w:tcPr/>
          <w:p>
            <w:pPr>
              <w:pStyle w:val="Compact"/>
              <w:jc w:val="left"/>
            </w:pPr>
            <w:r>
              <w:t xml:space="preserve">Publication-Liu 2005</w:t>
            </w:r>
          </w:p>
        </w:tc>
      </w:tr>
    </w:tbl>
    <w:bookmarkEnd w:id="40"/>
    <w:bookmarkEnd w:id="41"/>
    <w:bookmarkStart w:id="43" w:name="inhibition-cyp2c19-wu2014---table1---tdi"/>
    <w:p>
      <w:pPr>
        <w:pStyle w:val="Heading5"/>
      </w:pPr>
      <w:r>
        <w:t xml:space="preserve">Inhibition: CYP2C19-Wu2014 - Table1 - TDI</w:t>
      </w:r>
    </w:p>
    <w:p>
      <w:pPr>
        <w:pStyle w:val="FirstParagraph"/>
      </w:pPr>
      <w:r>
        <w:t xml:space="preserve">Molecule: CYP2C19</w:t>
      </w:r>
    </w:p>
    <w:bookmarkStart w:id="42" w:name="parameters-5"/>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kinact</w:t>
            </w:r>
          </w:p>
        </w:tc>
        <w:tc>
          <w:tcPr/>
          <w:p>
            <w:pPr>
              <w:pStyle w:val="Compact"/>
              <w:jc w:val="left"/>
            </w:pPr>
            <w:r>
              <w:t xml:space="preserve">5 1/h</w:t>
            </w:r>
          </w:p>
        </w:tc>
        <w:tc>
          <w:tcPr/>
          <w:p>
            <w:pPr>
              <w:pStyle w:val="Compact"/>
              <w:jc w:val="left"/>
            </w:pPr>
            <w:r>
              <w:t xml:space="preserve">Publication-Wu 2014</w:t>
            </w:r>
          </w:p>
        </w:tc>
      </w:tr>
      <w:tr>
        <w:tc>
          <w:tcPr/>
          <w:p>
            <w:pPr>
              <w:pStyle w:val="Compact"/>
              <w:jc w:val="left"/>
            </w:pPr>
            <w:r>
              <w:t xml:space="preserve">K_kinact_half</w:t>
            </w:r>
          </w:p>
        </w:tc>
        <w:tc>
          <w:tcPr/>
          <w:p>
            <w:pPr>
              <w:pStyle w:val="Compact"/>
              <w:jc w:val="left"/>
            </w:pPr>
            <w:r>
              <w:t xml:space="preserve">0.3 µmol/l</w:t>
            </w:r>
          </w:p>
        </w:tc>
        <w:tc>
          <w:tcPr/>
          <w:p>
            <w:pPr>
              <w:pStyle w:val="Compact"/>
            </w:pPr>
          </w:p>
        </w:tc>
      </w:tr>
    </w:tbl>
    <w:bookmarkEnd w:id="42"/>
    <w:bookmarkEnd w:id="43"/>
    <w:bookmarkEnd w:id="44"/>
    <w:bookmarkEnd w:id="45"/>
    <w:bookmarkStart w:id="59" w:name="compound-r-omeprazole"/>
    <w:p>
      <w:pPr>
        <w:pStyle w:val="Heading3"/>
      </w:pPr>
      <w:r>
        <w:t xml:space="preserve">Compound: R-omeprazole</w:t>
      </w:r>
    </w:p>
    <w:bookmarkStart w:id="46" w:name="parameters-6"/>
    <w:p>
      <w:pPr>
        <w:pStyle w:val="Heading4"/>
      </w:pPr>
      <w:r>
        <w:t xml:space="preserve">Parameters</w:t>
      </w:r>
    </w:p>
    <w:tbl>
      <w:tblPr>
        <w:tblStyle w:val="Table"/>
        <w:tblW w:type="pct" w:w="5000"/>
        <w:tblLook w:firstRow="1" w:lastRow="0" w:firstColumn="0" w:lastColumn="0" w:noHBand="0" w:noVBand="0" w:val="0020"/>
        <w:jc w:val="start"/>
      </w:tblPr>
      <w:tblGrid>
        <w:gridCol w:w="2837"/>
        <w:gridCol w:w="1300"/>
        <w:gridCol w:w="2718"/>
        <w:gridCol w:w="650"/>
        <w:gridCol w:w="413"/>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0.359 mg/ml</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7</w:t>
            </w:r>
          </w:p>
        </w:tc>
        <w:tc>
          <w:tcPr/>
          <w:p>
            <w:pPr>
              <w:pStyle w:val="Compact"/>
              <w:jc w:val="left"/>
            </w:pPr>
            <w:r>
              <w:t xml:space="preserve">Database-DrugBank DB00338</w:t>
            </w: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1.6835584938 Log Units</w:t>
            </w:r>
          </w:p>
        </w:tc>
        <w:tc>
          <w:tcPr/>
          <w:p>
            <w:pPr>
              <w:pStyle w:val="Compact"/>
              <w:jc w:val="left"/>
            </w:pPr>
            <w:r>
              <w:t xml:space="preserve">Other-Assumption-Same as S-omeprazole</w:t>
            </w:r>
          </w:p>
        </w:tc>
        <w:tc>
          <w:tcPr/>
          <w:p>
            <w:pPr>
              <w:pStyle w:val="Compact"/>
              <w:jc w:val="left"/>
            </w:pPr>
            <w:r>
              <w:t xml:space="preserve">LogP fit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0.04</w:t>
            </w:r>
          </w:p>
        </w:tc>
        <w:tc>
          <w:tcPr/>
          <w:p>
            <w:pPr>
              <w:pStyle w:val="Compact"/>
              <w:jc w:val="left"/>
            </w:pPr>
            <w:r>
              <w:t xml:space="preserve">Publication-Ogilvie 2011</w:t>
            </w:r>
          </w:p>
        </w:tc>
        <w:tc>
          <w:tcPr/>
          <w:p>
            <w:pPr>
              <w:pStyle w:val="Compact"/>
              <w:jc w:val="left"/>
            </w:pPr>
            <w:r>
              <w:t xml:space="preserve">Fu DrugBank</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9.79E-05 cm/min</w:t>
            </w:r>
          </w:p>
        </w:tc>
        <w:tc>
          <w:tcPr/>
          <w:p>
            <w:pPr>
              <w:pStyle w:val="Compact"/>
              <w:jc w:val="left"/>
            </w:pPr>
            <w:r>
              <w:t xml:space="preserve">Other-Assumption-Assumend same as S-omeprazole</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345.416 g/mol</w:t>
            </w:r>
          </w:p>
        </w:tc>
        <w:tc>
          <w:tcPr/>
          <w:p>
            <w:pPr>
              <w:pStyle w:val="Compact"/>
              <w:jc w:val="left"/>
            </w:pPr>
            <w:r>
              <w:t xml:space="preserve">Database-DrugBank DB00338</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46"/>
    <w:bookmarkStart w:id="47" w:name="calculation-methods-1"/>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47"/>
    <w:bookmarkStart w:id="58" w:name="processes-1"/>
    <w:p>
      <w:pPr>
        <w:pStyle w:val="Heading4"/>
      </w:pPr>
      <w:r>
        <w:t xml:space="preserve">Processes</w:t>
      </w:r>
    </w:p>
    <w:bookmarkStart w:id="49" w:name="Xdccc92c0f0bd82e2f59783b8c05ef6c7fcc7f03"/>
    <w:p>
      <w:pPr>
        <w:pStyle w:val="Heading5"/>
      </w:pPr>
      <w:r>
        <w:t xml:space="preserve">Metabolizing Enzyme: CYP2C19-2C19 Linear Fit</w:t>
      </w:r>
    </w:p>
    <w:p>
      <w:pPr>
        <w:pStyle w:val="FirstParagraph"/>
      </w:pPr>
      <w:r>
        <w:t xml:space="preserve">Species: Human</w:t>
      </w:r>
    </w:p>
    <w:p>
      <w:pPr>
        <w:pStyle w:val="BodyText"/>
      </w:pPr>
      <w:r>
        <w:t xml:space="preserve">Molecule: CYP2C19</w:t>
      </w:r>
    </w:p>
    <w:bookmarkStart w:id="48" w:name="parameters-7"/>
    <w:p>
      <w:pPr>
        <w:pStyle w:val="Heading6"/>
      </w:pPr>
      <w:r>
        <w:t xml:space="preserve">Parameters</w:t>
      </w:r>
    </w:p>
    <w:tbl>
      <w:tblPr>
        <w:tblStyle w:val="Table"/>
        <w:tblW w:type="pct" w:w="5000"/>
        <w:tblLook w:firstRow="1" w:lastRow="0" w:firstColumn="0" w:lastColumn="0" w:noHBand="0" w:noVBand="0" w:val="0020"/>
        <w:jc w:val="start"/>
      </w:tblPr>
      <w:tblGrid>
        <w:gridCol w:w="1567"/>
        <w:gridCol w:w="660"/>
        <w:gridCol w:w="569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50 1/min</w:t>
            </w:r>
          </w:p>
        </w:tc>
        <w:tc>
          <w:tcPr/>
          <w:p>
            <w:pPr>
              <w:pStyle w:val="Compact"/>
              <w:jc w:val="left"/>
            </w:pPr>
            <w:r>
              <w:t xml:space="preserve">Parameter Identification-Parameter Identification-Upper bound limited</w:t>
            </w:r>
          </w:p>
        </w:tc>
      </w:tr>
    </w:tbl>
    <w:bookmarkEnd w:id="48"/>
    <w:bookmarkEnd w:id="49"/>
    <w:bookmarkStart w:id="51" w:name="X0942999ab7f488a2608fd5857e57eca5f099d58"/>
    <w:p>
      <w:pPr>
        <w:pStyle w:val="Heading5"/>
      </w:pPr>
      <w:r>
        <w:t xml:space="preserve">Metabolizing Enzyme: CYP3A4-3A4 Linear Fit</w:t>
      </w:r>
    </w:p>
    <w:p>
      <w:pPr>
        <w:pStyle w:val="FirstParagraph"/>
      </w:pPr>
      <w:r>
        <w:t xml:space="preserve">Species: Human</w:t>
      </w:r>
    </w:p>
    <w:p>
      <w:pPr>
        <w:pStyle w:val="BodyText"/>
      </w:pPr>
      <w:r>
        <w:t xml:space="preserve">Molecule: CYP3A4</w:t>
      </w:r>
    </w:p>
    <w:bookmarkStart w:id="50" w:name="parameters-8"/>
    <w:p>
      <w:pPr>
        <w:pStyle w:val="Heading6"/>
      </w:pPr>
      <w:r>
        <w:t xml:space="preserve">Parameters</w:t>
      </w:r>
    </w:p>
    <w:tbl>
      <w:tblPr>
        <w:tblStyle w:val="Table"/>
        <w:tblW w:type="pct" w:w="5000"/>
        <w:tblLook w:firstRow="1" w:lastRow="0" w:firstColumn="0" w:lastColumn="0" w:noHBand="0" w:noVBand="0" w:val="0020"/>
        <w:jc w:val="start"/>
      </w:tblPr>
      <w:tblGrid>
        <w:gridCol w:w="1770"/>
        <w:gridCol w:w="1584"/>
        <w:gridCol w:w="4565"/>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 l/min</w:t>
            </w:r>
          </w:p>
        </w:tc>
        <w:tc>
          <w:tcPr/>
          <w:p>
            <w:pPr>
              <w:pStyle w:val="Compact"/>
            </w:pPr>
          </w:p>
        </w:tc>
      </w:tr>
      <w:tr>
        <w:tc>
          <w:tcPr/>
          <w:p>
            <w:pPr>
              <w:pStyle w:val="Compact"/>
              <w:jc w:val="left"/>
            </w:pPr>
            <w:r>
              <w:t xml:space="preserve">Specific clearance</w:t>
            </w:r>
          </w:p>
        </w:tc>
        <w:tc>
          <w:tcPr/>
          <w:p>
            <w:pPr>
              <w:pStyle w:val="Compact"/>
              <w:jc w:val="left"/>
            </w:pPr>
            <w:r>
              <w:t xml:space="preserve">0.161397262 1/min</w:t>
            </w:r>
          </w:p>
        </w:tc>
        <w:tc>
          <w:tcPr/>
          <w:p>
            <w:pPr>
              <w:pStyle w:val="Compact"/>
              <w:jc w:val="left"/>
            </w:pPr>
            <w:r>
              <w:t xml:space="preserve">Parameter Identification-Parameter Identification</w:t>
            </w:r>
          </w:p>
        </w:tc>
      </w:tr>
    </w:tbl>
    <w:bookmarkEnd w:id="50"/>
    <w:bookmarkEnd w:id="51"/>
    <w:bookmarkStart w:id="53" w:name="X6e491c2c274bb2560fdea992b5124bbdbc1d235"/>
    <w:p>
      <w:pPr>
        <w:pStyle w:val="Heading5"/>
      </w:pPr>
      <w:r>
        <w:t xml:space="preserve">Systemic Process: Renal Clearances-Wu2014 - Table1 - CLr</w:t>
      </w:r>
    </w:p>
    <w:p>
      <w:pPr>
        <w:pStyle w:val="FirstParagraph"/>
      </w:pPr>
      <w:r>
        <w:t xml:space="preserve">Species: Human</w:t>
      </w:r>
    </w:p>
    <w:bookmarkStart w:id="52" w:name="parameters-9"/>
    <w:p>
      <w:pPr>
        <w:pStyle w:val="Heading6"/>
      </w:pPr>
      <w:r>
        <w:t xml:space="preserve">Parameters</w:t>
      </w:r>
    </w:p>
    <w:tbl>
      <w:tblPr>
        <w:tblStyle w:val="Table"/>
        <w:tblW w:type="pct" w:w="5000"/>
        <w:tblLook w:firstRow="1" w:lastRow="0" w:firstColumn="0" w:lastColumn="0" w:noHBand="0" w:noVBand="0" w:val="0020"/>
        <w:jc w:val="start"/>
      </w:tblPr>
      <w:tblGrid>
        <w:gridCol w:w="3480"/>
        <w:gridCol w:w="2160"/>
        <w:gridCol w:w="228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Fraction unbound (experiment)</w:t>
            </w:r>
          </w:p>
        </w:tc>
        <w:tc>
          <w:tcPr/>
          <w:p>
            <w:pPr>
              <w:pStyle w:val="Compact"/>
              <w:jc w:val="left"/>
            </w:pPr>
            <w:r>
              <w:t xml:space="preserve">0.03</w:t>
            </w:r>
          </w:p>
        </w:tc>
        <w:tc>
          <w:tcPr/>
          <w:p>
            <w:pPr>
              <w:pStyle w:val="Compact"/>
            </w:pPr>
          </w:p>
        </w:tc>
      </w:tr>
      <w:tr>
        <w:tc>
          <w:tcPr/>
          <w:p>
            <w:pPr>
              <w:pStyle w:val="Compact"/>
              <w:jc w:val="left"/>
            </w:pPr>
            <w:r>
              <w:t xml:space="preserve">Plasma clearance</w:t>
            </w:r>
          </w:p>
        </w:tc>
        <w:tc>
          <w:tcPr/>
          <w:p>
            <w:pPr>
              <w:pStyle w:val="Compact"/>
              <w:jc w:val="left"/>
            </w:pPr>
            <w:r>
              <w:t xml:space="preserve">0 ml/min/kg</w:t>
            </w:r>
          </w:p>
        </w:tc>
        <w:tc>
          <w:tcPr/>
          <w:p>
            <w:pPr>
              <w:pStyle w:val="Compact"/>
            </w:pPr>
          </w:p>
        </w:tc>
      </w:tr>
      <w:tr>
        <w:tc>
          <w:tcPr/>
          <w:p>
            <w:pPr>
              <w:pStyle w:val="Compact"/>
              <w:jc w:val="left"/>
            </w:pPr>
            <w:r>
              <w:t xml:space="preserve">Specific clearance</w:t>
            </w:r>
          </w:p>
        </w:tc>
        <w:tc>
          <w:tcPr/>
          <w:p>
            <w:pPr>
              <w:pStyle w:val="Compact"/>
              <w:jc w:val="left"/>
            </w:pPr>
            <w:r>
              <w:t xml:space="preserve">0.0282095334 1/min</w:t>
            </w:r>
          </w:p>
        </w:tc>
        <w:tc>
          <w:tcPr/>
          <w:p>
            <w:pPr>
              <w:pStyle w:val="Compact"/>
              <w:jc w:val="left"/>
            </w:pPr>
            <w:r>
              <w:t xml:space="preserve">Publication-Wu 2014</w:t>
            </w:r>
          </w:p>
        </w:tc>
      </w:tr>
    </w:tbl>
    <w:bookmarkEnd w:id="52"/>
    <w:bookmarkEnd w:id="53"/>
    <w:bookmarkStart w:id="55" w:name="X4456845d07c95a6c2fe2b39423a1a1510a64728"/>
    <w:p>
      <w:pPr>
        <w:pStyle w:val="Heading5"/>
      </w:pPr>
      <w:r>
        <w:t xml:space="preserve">Inhibition: CYP2C19-Liu 2005 - Ki in vivo unbound</w:t>
      </w:r>
    </w:p>
    <w:p>
      <w:pPr>
        <w:pStyle w:val="FirstParagraph"/>
      </w:pPr>
      <w:r>
        <w:t xml:space="preserve">Molecule: CYP2C19</w:t>
      </w:r>
    </w:p>
    <w:bookmarkStart w:id="54" w:name="parameters-10"/>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5.3 µmol/l</w:t>
            </w:r>
          </w:p>
        </w:tc>
        <w:tc>
          <w:tcPr/>
          <w:p>
            <w:pPr>
              <w:pStyle w:val="Compact"/>
              <w:jc w:val="left"/>
            </w:pPr>
            <w:r>
              <w:t xml:space="preserve">Publication-Liu 2005</w:t>
            </w:r>
          </w:p>
        </w:tc>
      </w:tr>
    </w:tbl>
    <w:bookmarkEnd w:id="54"/>
    <w:bookmarkEnd w:id="55"/>
    <w:bookmarkStart w:id="57" w:name="X6c234f8e7c37ae7fcbc6e18d95969b1024fb84b"/>
    <w:p>
      <w:pPr>
        <w:pStyle w:val="Heading5"/>
      </w:pPr>
      <w:r>
        <w:t xml:space="preserve">Inhibition: CYP2C19-Wu2014 - Table1 - TDI</w:t>
      </w:r>
    </w:p>
    <w:p>
      <w:pPr>
        <w:pStyle w:val="FirstParagraph"/>
      </w:pPr>
      <w:r>
        <w:t xml:space="preserve">Molecule: CYP2C19</w:t>
      </w:r>
    </w:p>
    <w:bookmarkStart w:id="56" w:name="parameters-11"/>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kinact</w:t>
            </w:r>
          </w:p>
        </w:tc>
        <w:tc>
          <w:tcPr/>
          <w:p>
            <w:pPr>
              <w:pStyle w:val="Compact"/>
              <w:jc w:val="left"/>
            </w:pPr>
            <w:r>
              <w:t xml:space="preserve">4 1/h</w:t>
            </w:r>
          </w:p>
        </w:tc>
        <w:tc>
          <w:tcPr/>
          <w:p>
            <w:pPr>
              <w:pStyle w:val="Compact"/>
              <w:jc w:val="left"/>
            </w:pPr>
            <w:r>
              <w:t xml:space="preserve">Publication-Wu 2014</w:t>
            </w:r>
          </w:p>
        </w:tc>
      </w:tr>
      <w:tr>
        <w:tc>
          <w:tcPr/>
          <w:p>
            <w:pPr>
              <w:pStyle w:val="Compact"/>
              <w:jc w:val="left"/>
            </w:pPr>
            <w:r>
              <w:t xml:space="preserve">K_kinact_half</w:t>
            </w:r>
          </w:p>
        </w:tc>
        <w:tc>
          <w:tcPr/>
          <w:p>
            <w:pPr>
              <w:pStyle w:val="Compact"/>
              <w:jc w:val="left"/>
            </w:pPr>
            <w:r>
              <w:t xml:space="preserve">1.6 µmol/l</w:t>
            </w:r>
          </w:p>
        </w:tc>
        <w:tc>
          <w:tcPr/>
          <w:p>
            <w:pPr>
              <w:pStyle w:val="Compact"/>
            </w:pPr>
          </w:p>
        </w:tc>
      </w:tr>
    </w:tbl>
    <w:bookmarkEnd w:id="56"/>
    <w:bookmarkEnd w:id="57"/>
    <w:bookmarkEnd w:id="58"/>
    <w:bookmarkEnd w:id="59"/>
    <w:bookmarkStart w:id="61" w:name="formulation-omeprazole-capsule"/>
    <w:p>
      <w:pPr>
        <w:pStyle w:val="Heading3"/>
      </w:pPr>
      <w:r>
        <w:t xml:space="preserve">Formulation: Omeprazole capsule</w:t>
      </w:r>
    </w:p>
    <w:p>
      <w:pPr>
        <w:pStyle w:val="FirstParagraph"/>
      </w:pPr>
      <w:r>
        <w:t xml:space="preserve">Type: Weibull</w:t>
      </w:r>
    </w:p>
    <w:bookmarkStart w:id="60" w:name="parameters-12"/>
    <w:p>
      <w:pPr>
        <w:pStyle w:val="Heading4"/>
      </w:pPr>
      <w:r>
        <w:t xml:space="preserve">Parameters</w:t>
      </w:r>
    </w:p>
    <w:tbl>
      <w:tblPr>
        <w:tblStyle w:val="Table"/>
        <w:tblW w:type="pct" w:w="5000"/>
        <w:tblLook w:firstRow="1" w:lastRow="0" w:firstColumn="0" w:lastColumn="0" w:noHBand="0" w:noVBand="0" w:val="0020"/>
        <w:jc w:val="start"/>
      </w:tblPr>
      <w:tblGrid>
        <w:gridCol w:w="2816"/>
        <w:gridCol w:w="792"/>
        <w:gridCol w:w="431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Dissolution time (50% dissolved)</w:t>
            </w:r>
          </w:p>
        </w:tc>
        <w:tc>
          <w:tcPr/>
          <w:p>
            <w:pPr>
              <w:pStyle w:val="Compact"/>
              <w:jc w:val="left"/>
            </w:pPr>
            <w:r>
              <w:t xml:space="preserve">41.65 min</w:t>
            </w:r>
          </w:p>
        </w:tc>
        <w:tc>
          <w:tcPr/>
          <w:p>
            <w:pPr>
              <w:pStyle w:val="Compact"/>
              <w:jc w:val="left"/>
            </w:pPr>
            <w:r>
              <w:t xml:space="preserve">Parameter Identification-Parameter Identification</w:t>
            </w:r>
          </w:p>
        </w:tc>
      </w:tr>
      <w:tr>
        <w:tc>
          <w:tcPr/>
          <w:p>
            <w:pPr>
              <w:pStyle w:val="Compact"/>
              <w:jc w:val="left"/>
            </w:pPr>
            <w:r>
              <w:t xml:space="preserve">Lag time</w:t>
            </w:r>
          </w:p>
        </w:tc>
        <w:tc>
          <w:tcPr/>
          <w:p>
            <w:pPr>
              <w:pStyle w:val="Compact"/>
              <w:jc w:val="left"/>
            </w:pPr>
            <w:r>
              <w:t xml:space="preserve">30 min</w:t>
            </w:r>
          </w:p>
        </w:tc>
        <w:tc>
          <w:tcPr/>
          <w:p>
            <w:pPr>
              <w:pStyle w:val="Compact"/>
              <w:jc w:val="left"/>
            </w:pPr>
            <w:r>
              <w:t xml:space="preserve">Other-Assumption-Gastric emptying</w:t>
            </w:r>
          </w:p>
        </w:tc>
      </w:tr>
      <w:tr>
        <w:tc>
          <w:tcPr/>
          <w:p>
            <w:pPr>
              <w:pStyle w:val="Compact"/>
              <w:jc w:val="left"/>
            </w:pPr>
            <w:r>
              <w:t xml:space="preserve">Dissolution shape</w:t>
            </w:r>
          </w:p>
        </w:tc>
        <w:tc>
          <w:tcPr/>
          <w:p>
            <w:pPr>
              <w:pStyle w:val="Compact"/>
              <w:jc w:val="left"/>
            </w:pPr>
            <w:r>
              <w:t xml:space="preserve">1.02</w:t>
            </w:r>
          </w:p>
        </w:tc>
        <w:tc>
          <w:tcPr/>
          <w:p>
            <w:pPr>
              <w:pStyle w:val="Compact"/>
              <w:jc w:val="left"/>
            </w:pPr>
            <w:r>
              <w:t xml:space="preserve">Parameter Identification-Parameter Identification</w:t>
            </w:r>
          </w:p>
        </w:tc>
      </w:tr>
      <w:tr>
        <w:tc>
          <w:tcPr/>
          <w:p>
            <w:pPr>
              <w:pStyle w:val="Compact"/>
              <w:jc w:val="left"/>
            </w:pPr>
            <w:r>
              <w:t xml:space="preserve">Use as suspension</w:t>
            </w:r>
          </w:p>
        </w:tc>
        <w:tc>
          <w:tcPr/>
          <w:p>
            <w:pPr>
              <w:pStyle w:val="Compact"/>
              <w:jc w:val="left"/>
            </w:pPr>
            <w:r>
              <w:t xml:space="preserve">Yes</w:t>
            </w:r>
          </w:p>
        </w:tc>
        <w:tc>
          <w:tcPr/>
          <w:p>
            <w:pPr>
              <w:pStyle w:val="Compact"/>
            </w:pPr>
          </w:p>
        </w:tc>
      </w:tr>
    </w:tbl>
    <w:bookmarkEnd w:id="60"/>
    <w:bookmarkEnd w:id="61"/>
    <w:bookmarkEnd w:id="62"/>
    <w:bookmarkStart w:id="81" w:name="diagnostics-plots"/>
    <w:p>
      <w:pPr>
        <w:pStyle w:val="Heading2"/>
      </w:pPr>
      <w:r>
        <w:t xml:space="preserve">Diagnostics Plots</w:t>
      </w:r>
      <w:bookmarkStart w:id="diagnostics-plots" w:name="diagnostics-plots"/>
      <w:bookmarkEnd w:id="diagnostics-plots"/>
    </w:p>
    <w:p>
      <w:pPr>
        <w:pStyle w:val="FirstParagraph"/>
      </w:pPr>
      <w:r>
        <w:t xml:space="preserve">The following section displays the goodness-of-fit visual diagnostic plots for the PBPK model performance of all data listed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S-omeprazole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iv administration (model building)</w:t>
            </w:r>
          </w:p>
        </w:tc>
        <w:tc>
          <w:tcPr/>
          <w:p>
            <w:pPr>
              <w:pStyle w:val="Compact"/>
              <w:jc w:val="left"/>
            </w:pPr>
            <w:r>
              <w:t xml:space="preserve">1.39</w:t>
            </w:r>
          </w:p>
        </w:tc>
      </w:tr>
      <w:tr>
        <w:tc>
          <w:tcPr/>
          <w:p>
            <w:pPr>
              <w:pStyle w:val="Compact"/>
              <w:jc w:val="left"/>
            </w:pPr>
            <w:r>
              <w:t xml:space="preserve">Oral administration (model building)</w:t>
            </w:r>
          </w:p>
        </w:tc>
        <w:tc>
          <w:tcPr/>
          <w:p>
            <w:pPr>
              <w:pStyle w:val="Compact"/>
              <w:jc w:val="left"/>
            </w:pPr>
            <w:r>
              <w:t xml:space="preserve">1.43</w:t>
            </w:r>
          </w:p>
        </w:tc>
      </w:tr>
      <w:tr>
        <w:tc>
          <w:tcPr/>
          <w:p>
            <w:pPr>
              <w:pStyle w:val="Compact"/>
              <w:jc w:val="left"/>
            </w:pPr>
            <w:r>
              <w:t xml:space="preserve">Oral administration (model validation)</w:t>
            </w:r>
          </w:p>
        </w:tc>
        <w:tc>
          <w:tcPr/>
          <w:p>
            <w:pPr>
              <w:pStyle w:val="Compact"/>
              <w:jc w:val="left"/>
            </w:pPr>
            <w:r>
              <w:t xml:space="preserve">1.72</w:t>
            </w:r>
          </w:p>
        </w:tc>
      </w:tr>
      <w:tr>
        <w:tc>
          <w:tcPr/>
          <w:p>
            <w:pPr>
              <w:pStyle w:val="Compact"/>
              <w:jc w:val="left"/>
            </w:pPr>
            <w:r>
              <w:t xml:space="preserve">All</w:t>
            </w:r>
          </w:p>
        </w:tc>
        <w:tc>
          <w:tcPr/>
          <w:p>
            <w:pPr>
              <w:pStyle w:val="Compact"/>
              <w:jc w:val="left"/>
            </w:pPr>
            <w:r>
              <w:t xml:space="preserve">1.50</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717114"/>
            <wp:effectExtent b="0" l="0" r="0" t="0"/>
            <wp:docPr descr="" title="" id="64" name="Picture"/>
            <a:graphic>
              <a:graphicData uri="http://schemas.openxmlformats.org/drawingml/2006/picture">
                <pic:pic>
                  <pic:nvPicPr>
                    <pic:cNvPr descr="images/006_section_results-and-discussion/008_section_diagnostics-plots/2_gof_plot_predictedVsObserved.png" id="65" name="Picture"/>
                    <pic:cNvPicPr>
                      <a:picLocks noChangeArrowheads="1" noChangeAspect="1"/>
                    </pic:cNvPicPr>
                  </pic:nvPicPr>
                  <pic:blipFill>
                    <a:blip r:embed="rId63"/>
                    <a:stretch>
                      <a:fillRect/>
                    </a:stretch>
                  </pic:blipFill>
                  <pic:spPr bwMode="auto">
                    <a:xfrm>
                      <a:off x="0" y="0"/>
                      <a:ext cx="5969000" cy="6717114"/>
                    </a:xfrm>
                    <a:prstGeom prst="rect">
                      <a:avLst/>
                    </a:prstGeom>
                    <a:noFill/>
                    <a:ln w="9525">
                      <a:noFill/>
                      <a:headEnd/>
                      <a:tailEnd/>
                    </a:ln>
                  </pic:spPr>
                </pic:pic>
              </a:graphicData>
            </a:graphic>
          </wp:inline>
        </w:drawing>
      </w:r>
    </w:p>
    <w:p>
      <w:pPr>
        <w:pStyle w:val="BodyText"/>
      </w:pPr>
      <w:r>
        <w:rPr>
          <w:bCs/>
          <w:b/>
        </w:rPr>
        <w:t xml:space="preserve">Figure 3-1: S-omeprazole concentration in plasma - mean data</w:t>
      </w:r>
    </w:p>
    <w:p>
      <w:pPr>
        <w:pStyle w:val="BodyText"/>
      </w:pPr>
      <w:r>
        <w:t xml:space="preserve"> </w:t>
      </w:r>
    </w:p>
    <w:br w:type="page"/>
    <w:p>
      <w:pPr>
        <w:pStyle w:val="BodyText"/>
      </w:pPr>
      <w:bookmarkStart w:id="figure-3-2" w:name="figure-3-2"/>
      <w:bookmarkEnd w:id="figure-3-2"/>
    </w:p>
    <w:p>
      <w:pPr>
        <w:pStyle w:val="BodyText"/>
      </w:pPr>
      <w:r>
        <w:drawing>
          <wp:inline>
            <wp:extent cx="5969000" cy="4493463"/>
            <wp:effectExtent b="0" l="0" r="0" t="0"/>
            <wp:docPr descr="" title="" id="67" name="Picture"/>
            <a:graphic>
              <a:graphicData uri="http://schemas.openxmlformats.org/drawingml/2006/picture">
                <pic:pic>
                  <pic:nvPicPr>
                    <pic:cNvPr descr="images/006_section_results-and-discussion/008_section_diagnostics-plots/3_gof_plot_residualsOverTime.png" id="68" name="Picture"/>
                    <pic:cNvPicPr>
                      <a:picLocks noChangeArrowheads="1" noChangeAspect="1"/>
                    </pic:cNvPicPr>
                  </pic:nvPicPr>
                  <pic:blipFill>
                    <a:blip r:embed="rId66"/>
                    <a:stretch>
                      <a:fillRect/>
                    </a:stretch>
                  </pic:blipFill>
                  <pic:spPr bwMode="auto">
                    <a:xfrm>
                      <a:off x="0" y="0"/>
                      <a:ext cx="5969000" cy="4493463"/>
                    </a:xfrm>
                    <a:prstGeom prst="rect">
                      <a:avLst/>
                    </a:prstGeom>
                    <a:noFill/>
                    <a:ln w="9525">
                      <a:noFill/>
                      <a:headEnd/>
                      <a:tailEnd/>
                    </a:ln>
                  </pic:spPr>
                </pic:pic>
              </a:graphicData>
            </a:graphic>
          </wp:inline>
        </w:drawing>
      </w:r>
    </w:p>
    <w:p>
      <w:pPr>
        <w:pStyle w:val="BodyText"/>
      </w:pPr>
      <w:r>
        <w:rPr>
          <w:bCs/>
          <w:b/>
        </w:rPr>
        <w:t xml:space="preserve">Figure 3-2: S-omeprazole concentration in plasma - mean data</w:t>
      </w:r>
    </w:p>
    <w:p>
      <w:pPr>
        <w:pStyle w:val="BodyText"/>
      </w:pPr>
      <w:r>
        <w:t xml:space="preserve"> </w:t>
      </w:r>
    </w:p>
    <w:br w:type="page"/>
    <w:p>
      <w:pPr>
        <w:pStyle w:val="BodyText"/>
      </w:pPr>
      <w:bookmarkStart w:id="table-3-2" w:name="table-3-2"/>
      <w:bookmarkEnd w:id="table-3-2"/>
    </w:p>
    <w:p>
      <w:pPr>
        <w:pStyle w:val="BodyText"/>
      </w:pPr>
      <w:r>
        <w:rPr>
          <w:bCs/>
          <w:b/>
        </w:rPr>
        <w:t xml:space="preserve">Table 3-2: GMFE for R-omeprazole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Oral administration (model building)</w:t>
            </w:r>
          </w:p>
        </w:tc>
        <w:tc>
          <w:tcPr/>
          <w:p>
            <w:pPr>
              <w:pStyle w:val="Compact"/>
              <w:jc w:val="left"/>
            </w:pPr>
            <w:r>
              <w:t xml:space="preserve">2.40</w:t>
            </w:r>
          </w:p>
        </w:tc>
      </w:tr>
    </w:tbl>
    <w:p>
      <w:pPr>
        <w:pStyle w:val="BodyText"/>
      </w:pPr>
      <w:r>
        <w:t xml:space="preserve"> </w:t>
      </w:r>
    </w:p>
    <w:br w:type="page"/>
    <w:p>
      <w:pPr>
        <w:pStyle w:val="BodyText"/>
      </w:pPr>
      <w:bookmarkStart w:id="figure-3-3" w:name="figure-3-3"/>
      <w:bookmarkEnd w:id="figure-3-3"/>
    </w:p>
    <w:p>
      <w:pPr>
        <w:pStyle w:val="BodyText"/>
      </w:pPr>
      <w:r>
        <w:drawing>
          <wp:inline>
            <wp:extent cx="5969000" cy="6297958"/>
            <wp:effectExtent b="0" l="0" r="0" t="0"/>
            <wp:docPr descr="" title="" id="70" name="Picture"/>
            <a:graphic>
              <a:graphicData uri="http://schemas.openxmlformats.org/drawingml/2006/picture">
                <pic:pic>
                  <pic:nvPicPr>
                    <pic:cNvPr descr="images/006_section_results-and-discussion/008_section_diagnostics-plots/5_gof_plot_predictedVsObserved.png" id="71" name="Picture"/>
                    <pic:cNvPicPr>
                      <a:picLocks noChangeArrowheads="1" noChangeAspect="1"/>
                    </pic:cNvPicPr>
                  </pic:nvPicPr>
                  <pic:blipFill>
                    <a:blip r:embed="rId69"/>
                    <a:stretch>
                      <a:fillRect/>
                    </a:stretch>
                  </pic:blipFill>
                  <pic:spPr bwMode="auto">
                    <a:xfrm>
                      <a:off x="0" y="0"/>
                      <a:ext cx="5969000" cy="6297958"/>
                    </a:xfrm>
                    <a:prstGeom prst="rect">
                      <a:avLst/>
                    </a:prstGeom>
                    <a:noFill/>
                    <a:ln w="9525">
                      <a:noFill/>
                      <a:headEnd/>
                      <a:tailEnd/>
                    </a:ln>
                  </pic:spPr>
                </pic:pic>
              </a:graphicData>
            </a:graphic>
          </wp:inline>
        </w:drawing>
      </w:r>
    </w:p>
    <w:p>
      <w:pPr>
        <w:pStyle w:val="BodyText"/>
      </w:pPr>
      <w:r>
        <w:rPr>
          <w:bCs/>
          <w:b/>
        </w:rPr>
        <w:t xml:space="preserve">Figure 3-3: R-omeprazole concentration in plasma - mean data</w:t>
      </w:r>
    </w:p>
    <w:p>
      <w:pPr>
        <w:pStyle w:val="BodyText"/>
      </w:pPr>
      <w:r>
        <w:t xml:space="preserve"> </w:t>
      </w:r>
    </w:p>
    <w:br w:type="page"/>
    <w:p>
      <w:pPr>
        <w:pStyle w:val="BodyText"/>
      </w:pPr>
      <w:bookmarkStart w:id="figure-3-4" w:name="figure-3-4"/>
      <w:bookmarkEnd w:id="figure-3-4"/>
    </w:p>
    <w:p>
      <w:pPr>
        <w:pStyle w:val="BodyText"/>
      </w:pPr>
      <w:r>
        <w:drawing>
          <wp:inline>
            <wp:extent cx="5969000" cy="4116222"/>
            <wp:effectExtent b="0" l="0" r="0" t="0"/>
            <wp:docPr descr="" title="" id="73" name="Picture"/>
            <a:graphic>
              <a:graphicData uri="http://schemas.openxmlformats.org/drawingml/2006/picture">
                <pic:pic>
                  <pic:nvPicPr>
                    <pic:cNvPr descr="images/006_section_results-and-discussion/008_section_diagnostics-plots/6_gof_plot_residualsOverTime.png" id="74" name="Picture"/>
                    <pic:cNvPicPr>
                      <a:picLocks noChangeArrowheads="1" noChangeAspect="1"/>
                    </pic:cNvPicPr>
                  </pic:nvPicPr>
                  <pic:blipFill>
                    <a:blip r:embed="rId72"/>
                    <a:stretch>
                      <a:fillRect/>
                    </a:stretch>
                  </pic:blipFill>
                  <pic:spPr bwMode="auto">
                    <a:xfrm>
                      <a:off x="0" y="0"/>
                      <a:ext cx="5969000" cy="4116222"/>
                    </a:xfrm>
                    <a:prstGeom prst="rect">
                      <a:avLst/>
                    </a:prstGeom>
                    <a:noFill/>
                    <a:ln w="9525">
                      <a:noFill/>
                      <a:headEnd/>
                      <a:tailEnd/>
                    </a:ln>
                  </pic:spPr>
                </pic:pic>
              </a:graphicData>
            </a:graphic>
          </wp:inline>
        </w:drawing>
      </w:r>
    </w:p>
    <w:p>
      <w:pPr>
        <w:pStyle w:val="BodyText"/>
      </w:pPr>
      <w:r>
        <w:rPr>
          <w:bCs/>
          <w:b/>
        </w:rPr>
        <w:t xml:space="preserve">Figure 3-4: R-omeprazole concentration in plasma - mean data</w:t>
      </w:r>
    </w:p>
    <w:p>
      <w:pPr>
        <w:pStyle w:val="BodyText"/>
      </w:pPr>
      <w:r>
        <w:t xml:space="preserve"> </w:t>
      </w:r>
    </w:p>
    <w:br w:type="page"/>
    <w:p>
      <w:pPr>
        <w:pStyle w:val="BodyText"/>
      </w:pPr>
      <w:bookmarkStart w:id="table-3-3" w:name="table-3-3"/>
      <w:bookmarkEnd w:id="table-3-3"/>
    </w:p>
    <w:p>
      <w:pPr>
        <w:pStyle w:val="BodyText"/>
      </w:pPr>
      <w:r>
        <w:rPr>
          <w:bCs/>
          <w:b/>
        </w:rPr>
        <w:t xml:space="preserve">Table 3-3: GMFE for Omeprazole concentration in plasma - mean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iv administration (model building)</w:t>
            </w:r>
          </w:p>
        </w:tc>
        <w:tc>
          <w:tcPr/>
          <w:p>
            <w:pPr>
              <w:pStyle w:val="Compact"/>
              <w:jc w:val="left"/>
            </w:pPr>
            <w:r>
              <w:t xml:space="preserve">1.70</w:t>
            </w:r>
          </w:p>
        </w:tc>
      </w:tr>
      <w:tr>
        <w:tc>
          <w:tcPr/>
          <w:p>
            <w:pPr>
              <w:pStyle w:val="Compact"/>
              <w:jc w:val="left"/>
            </w:pPr>
            <w:r>
              <w:t xml:space="preserve">iv administration (model validation)</w:t>
            </w:r>
          </w:p>
        </w:tc>
        <w:tc>
          <w:tcPr/>
          <w:p>
            <w:pPr>
              <w:pStyle w:val="Compact"/>
              <w:jc w:val="left"/>
            </w:pPr>
            <w:r>
              <w:t xml:space="preserve">1.30</w:t>
            </w:r>
          </w:p>
        </w:tc>
      </w:tr>
      <w:tr>
        <w:tc>
          <w:tcPr/>
          <w:p>
            <w:pPr>
              <w:pStyle w:val="Compact"/>
              <w:jc w:val="left"/>
            </w:pPr>
            <w:r>
              <w:t xml:space="preserve">Oral administration (model building)</w:t>
            </w:r>
          </w:p>
        </w:tc>
        <w:tc>
          <w:tcPr/>
          <w:p>
            <w:pPr>
              <w:pStyle w:val="Compact"/>
              <w:jc w:val="left"/>
            </w:pPr>
            <w:r>
              <w:t xml:space="preserve">1.30</w:t>
            </w:r>
          </w:p>
        </w:tc>
      </w:tr>
      <w:tr>
        <w:tc>
          <w:tcPr/>
          <w:p>
            <w:pPr>
              <w:pStyle w:val="Compact"/>
              <w:jc w:val="left"/>
            </w:pPr>
            <w:r>
              <w:t xml:space="preserve">Oral administration (model validation)</w:t>
            </w:r>
          </w:p>
        </w:tc>
        <w:tc>
          <w:tcPr/>
          <w:p>
            <w:pPr>
              <w:pStyle w:val="Compact"/>
              <w:jc w:val="left"/>
            </w:pPr>
            <w:r>
              <w:t xml:space="preserve">2.45</w:t>
            </w:r>
          </w:p>
        </w:tc>
      </w:tr>
      <w:tr>
        <w:tc>
          <w:tcPr/>
          <w:p>
            <w:pPr>
              <w:pStyle w:val="Compact"/>
              <w:jc w:val="left"/>
            </w:pPr>
            <w:r>
              <w:t xml:space="preserve">All</w:t>
            </w:r>
          </w:p>
        </w:tc>
        <w:tc>
          <w:tcPr/>
          <w:p>
            <w:pPr>
              <w:pStyle w:val="Compact"/>
              <w:jc w:val="left"/>
            </w:pPr>
            <w:r>
              <w:t xml:space="preserve">2.09</w:t>
            </w:r>
          </w:p>
        </w:tc>
      </w:tr>
    </w:tbl>
    <w:p>
      <w:pPr>
        <w:pStyle w:val="BodyText"/>
      </w:pPr>
      <w:r>
        <w:t xml:space="preserve"> </w:t>
      </w:r>
    </w:p>
    <w:br w:type="page"/>
    <w:p>
      <w:pPr>
        <w:pStyle w:val="BodyText"/>
      </w:pPr>
      <w:bookmarkStart w:id="figure-3-5" w:name="figure-3-5"/>
      <w:bookmarkEnd w:id="figure-3-5"/>
    </w:p>
    <w:p>
      <w:pPr>
        <w:pStyle w:val="BodyText"/>
      </w:pPr>
      <w:r>
        <w:drawing>
          <wp:inline>
            <wp:extent cx="5969000" cy="6926692"/>
            <wp:effectExtent b="0" l="0" r="0" t="0"/>
            <wp:docPr descr="" title="" id="76" name="Picture"/>
            <a:graphic>
              <a:graphicData uri="http://schemas.openxmlformats.org/drawingml/2006/picture">
                <pic:pic>
                  <pic:nvPicPr>
                    <pic:cNvPr descr="images/006_section_results-and-discussion/008_section_diagnostics-plots/8_gof_plot_predictedVsObserved.png" id="77" name="Picture"/>
                    <pic:cNvPicPr>
                      <a:picLocks noChangeArrowheads="1" noChangeAspect="1"/>
                    </pic:cNvPicPr>
                  </pic:nvPicPr>
                  <pic:blipFill>
                    <a:blip r:embed="rId75"/>
                    <a:stretch>
                      <a:fillRect/>
                    </a:stretch>
                  </pic:blipFill>
                  <pic:spPr bwMode="auto">
                    <a:xfrm>
                      <a:off x="0" y="0"/>
                      <a:ext cx="5969000" cy="6926692"/>
                    </a:xfrm>
                    <a:prstGeom prst="rect">
                      <a:avLst/>
                    </a:prstGeom>
                    <a:noFill/>
                    <a:ln w="9525">
                      <a:noFill/>
                      <a:headEnd/>
                      <a:tailEnd/>
                    </a:ln>
                  </pic:spPr>
                </pic:pic>
              </a:graphicData>
            </a:graphic>
          </wp:inline>
        </w:drawing>
      </w:r>
    </w:p>
    <w:p>
      <w:pPr>
        <w:pStyle w:val="BodyText"/>
      </w:pPr>
      <w:r>
        <w:rPr>
          <w:bCs/>
          <w:b/>
        </w:rPr>
        <w:t xml:space="preserve">Figure 3-5: Omeprazole concentration in plasma - mean data</w:t>
      </w:r>
    </w:p>
    <w:p>
      <w:pPr>
        <w:pStyle w:val="BodyText"/>
      </w:pPr>
      <w:r>
        <w:t xml:space="preserve"> </w:t>
      </w:r>
    </w:p>
    <w:br w:type="page"/>
    <w:p>
      <w:pPr>
        <w:pStyle w:val="BodyText"/>
      </w:pPr>
      <w:bookmarkStart w:id="figure-3-6" w:name="figure-3-6"/>
      <w:bookmarkEnd w:id="figure-3-6"/>
    </w:p>
    <w:p>
      <w:pPr>
        <w:pStyle w:val="BodyText"/>
      </w:pPr>
      <w:r>
        <w:drawing>
          <wp:inline>
            <wp:extent cx="5969000" cy="4682083"/>
            <wp:effectExtent b="0" l="0" r="0" t="0"/>
            <wp:docPr descr="" title="" id="79" name="Picture"/>
            <a:graphic>
              <a:graphicData uri="http://schemas.openxmlformats.org/drawingml/2006/picture">
                <pic:pic>
                  <pic:nvPicPr>
                    <pic:cNvPr descr="images/006_section_results-and-discussion/008_section_diagnostics-plots/9_gof_plot_residualsOverTime.png" id="80" name="Picture"/>
                    <pic:cNvPicPr>
                      <a:picLocks noChangeArrowheads="1" noChangeAspect="1"/>
                    </pic:cNvPicPr>
                  </pic:nvPicPr>
                  <pic:blipFill>
                    <a:blip r:embed="rId78"/>
                    <a:stretch>
                      <a:fillRect/>
                    </a:stretch>
                  </pic:blipFill>
                  <pic:spPr bwMode="auto">
                    <a:xfrm>
                      <a:off x="0" y="0"/>
                      <a:ext cx="5969000" cy="4682083"/>
                    </a:xfrm>
                    <a:prstGeom prst="rect">
                      <a:avLst/>
                    </a:prstGeom>
                    <a:noFill/>
                    <a:ln w="9525">
                      <a:noFill/>
                      <a:headEnd/>
                      <a:tailEnd/>
                    </a:ln>
                  </pic:spPr>
                </pic:pic>
              </a:graphicData>
            </a:graphic>
          </wp:inline>
        </w:drawing>
      </w:r>
    </w:p>
    <w:p>
      <w:pPr>
        <w:pStyle w:val="BodyText"/>
      </w:pPr>
      <w:r>
        <w:rPr>
          <w:bCs/>
          <w:b/>
        </w:rPr>
        <w:t xml:space="preserve">Figure 3-6: Omeprazole concentration in plasma - mean data</w:t>
      </w:r>
    </w:p>
    <w:p>
      <w:pPr>
        <w:pStyle w:val="BodyText"/>
      </w:pPr>
      <w:r>
        <w:t xml:space="preserve"> </w:t>
      </w:r>
    </w:p>
    <w:bookmarkEnd w:id="81"/>
    <w:bookmarkStart w:id="192"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145" w:name="model-building"/>
    <w:p>
      <w:pPr>
        <w:pStyle w:val="Heading3"/>
      </w:pPr>
      <w:r>
        <w:t xml:space="preserve">Model Building</w:t>
      </w:r>
      <w:bookmarkStart w:id="model-building" w:name="model-building"/>
      <w:bookmarkEnd w:id="model-building"/>
    </w:p>
    <w:br w:type="page"/>
    <w:p>
      <w:pPr>
        <w:pStyle w:val="FirstParagraph"/>
      </w:pPr>
      <w:bookmarkStart w:id="figure-3-7" w:name="figure-3-7"/>
      <w:bookmarkEnd w:id="figure-3-7"/>
    </w:p>
    <w:p>
      <w:pPr>
        <w:pStyle w:val="BodyText"/>
      </w:pPr>
      <w:r>
        <w:drawing>
          <wp:inline>
            <wp:extent cx="5969000" cy="4290517"/>
            <wp:effectExtent b="0" l="0" r="0" t="0"/>
            <wp:docPr descr="" title="" id="83" name="Picture"/>
            <a:graphic>
              <a:graphicData uri="http://schemas.openxmlformats.org/drawingml/2006/picture">
                <pic:pic>
                  <pic:nvPicPr>
                    <pic:cNvPr descr="images/006_section_results-and-discussion/009_section_ct-profiles/010_section_model-building/1_time_profile_plot_Omeprazole_E_1_Esomeprazole_IV_20_mg___5d_QD__Hassan_Alin2000_.png" id="84" name="Picture"/>
                    <pic:cNvPicPr>
                      <a:picLocks noChangeArrowheads="1" noChangeAspect="1"/>
                    </pic:cNvPicPr>
                  </pic:nvPicPr>
                  <pic:blipFill>
                    <a:blip r:embed="rId8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3-7: 20 mg S-omeprazole iv infusion</w:t>
      </w:r>
    </w:p>
    <w:p>
      <w:pPr>
        <w:pStyle w:val="BodyText"/>
      </w:pPr>
      <w:r>
        <w:t xml:space="preserve"> </w:t>
      </w:r>
    </w:p>
    <w:br w:type="page"/>
    <w:p>
      <w:pPr>
        <w:pStyle w:val="BodyText"/>
      </w:pPr>
      <w:bookmarkStart w:id="figure-3-8" w:name="figure-3-8"/>
      <w:bookmarkEnd w:id="figure-3-8"/>
    </w:p>
    <w:p>
      <w:pPr>
        <w:pStyle w:val="BodyText"/>
      </w:pPr>
      <w:r>
        <w:drawing>
          <wp:inline>
            <wp:extent cx="5969000" cy="4911293"/>
            <wp:effectExtent b="0" l="0" r="0" t="0"/>
            <wp:docPr descr="" title="" id="86" name="Picture"/>
            <a:graphic>
              <a:graphicData uri="http://schemas.openxmlformats.org/drawingml/2006/picture">
                <pic:pic>
                  <pic:nvPicPr>
                    <pic:cNvPr descr="images/006_section_results-and-discussion/009_section_ct-profiles/010_section_model-building/2_time_profile_plot_Omeprazole_E_2__Esomeprazole_IV_40_mg___5d_QD__Hassan_Alin2000__Wilder_Smith2005_.png" id="87" name="Picture"/>
                    <pic:cNvPicPr>
                      <a:picLocks noChangeArrowheads="1" noChangeAspect="1"/>
                    </pic:cNvPicPr>
                  </pic:nvPicPr>
                  <pic:blipFill>
                    <a:blip r:embed="rId85"/>
                    <a:stretch>
                      <a:fillRect/>
                    </a:stretch>
                  </pic:blipFill>
                  <pic:spPr bwMode="auto">
                    <a:xfrm>
                      <a:off x="0" y="0"/>
                      <a:ext cx="5969000" cy="4911293"/>
                    </a:xfrm>
                    <a:prstGeom prst="rect">
                      <a:avLst/>
                    </a:prstGeom>
                    <a:noFill/>
                    <a:ln w="9525">
                      <a:noFill/>
                      <a:headEnd/>
                      <a:tailEnd/>
                    </a:ln>
                  </pic:spPr>
                </pic:pic>
              </a:graphicData>
            </a:graphic>
          </wp:inline>
        </w:drawing>
      </w:r>
    </w:p>
    <w:p>
      <w:pPr>
        <w:pStyle w:val="BodyText"/>
      </w:pPr>
      <w:r>
        <w:rPr>
          <w:bCs/>
          <w:b/>
        </w:rPr>
        <w:t xml:space="preserve">Figure 3-8: 40 mg S-omeprazole iv infusion</w:t>
      </w:r>
    </w:p>
    <w:p>
      <w:pPr>
        <w:pStyle w:val="BodyText"/>
      </w:pPr>
      <w:r>
        <w:t xml:space="preserve"> </w:t>
      </w:r>
    </w:p>
    <w:br w:type="page"/>
    <w:p>
      <w:pPr>
        <w:pStyle w:val="BodyText"/>
      </w:pPr>
      <w:bookmarkStart w:id="figure-3-9" w:name="figure-3-9"/>
      <w:bookmarkEnd w:id="figure-3-9"/>
    </w:p>
    <w:p>
      <w:pPr>
        <w:pStyle w:val="BodyText"/>
      </w:pPr>
      <w:r>
        <w:drawing>
          <wp:inline>
            <wp:extent cx="5969000" cy="4376470"/>
            <wp:effectExtent b="0" l="0" r="0" t="0"/>
            <wp:docPr descr="" title="" id="89" name="Picture"/>
            <a:graphic>
              <a:graphicData uri="http://schemas.openxmlformats.org/drawingml/2006/picture">
                <pic:pic>
                  <pic:nvPicPr>
                    <pic:cNvPr descr="images/006_section_results-and-discussion/009_section_ct-profiles/010_section_model-building/3_time_profile_plot_Omeprazole_E_4__Esomeprazole_IV_80mg_30min__4mg_h___SD__Rohss2007_.png" id="90" name="Picture"/>
                    <pic:cNvPicPr>
                      <a:picLocks noChangeArrowheads="1" noChangeAspect="1"/>
                    </pic:cNvPicPr>
                  </pic:nvPicPr>
                  <pic:blipFill>
                    <a:blip r:embed="rId88"/>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3-9: 80 mg 30 min + 4 mg/h iv</w:t>
      </w:r>
    </w:p>
    <w:p>
      <w:pPr>
        <w:pStyle w:val="BodyText"/>
      </w:pPr>
      <w:r>
        <w:t xml:space="preserve"> </w:t>
      </w:r>
    </w:p>
    <w:br w:type="page"/>
    <w:p>
      <w:pPr>
        <w:pStyle w:val="BodyText"/>
      </w:pPr>
      <w:bookmarkStart w:id="figure-3-10" w:name="figure-3-10"/>
      <w:bookmarkEnd w:id="figure-3-10"/>
    </w:p>
    <w:p>
      <w:pPr>
        <w:pStyle w:val="BodyText"/>
      </w:pPr>
      <w:r>
        <w:drawing>
          <wp:inline>
            <wp:extent cx="5969000" cy="4376470"/>
            <wp:effectExtent b="0" l="0" r="0" t="0"/>
            <wp:docPr descr="" title="" id="92" name="Picture"/>
            <a:graphic>
              <a:graphicData uri="http://schemas.openxmlformats.org/drawingml/2006/picture">
                <pic:pic>
                  <pic:nvPicPr>
                    <pic:cNvPr descr="images/006_section_results-and-discussion/009_section_ct-profiles/010_section_model-building/4_time_profile_plot_Omeprazole_E_3__Esomeprazole_IV_40mg_30min__8mg_h____Rohss2007_.png" id="93" name="Picture"/>
                    <pic:cNvPicPr>
                      <a:picLocks noChangeArrowheads="1" noChangeAspect="1"/>
                    </pic:cNvPicPr>
                  </pic:nvPicPr>
                  <pic:blipFill>
                    <a:blip r:embed="rId91"/>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3-10: 40 mg 30 min + 8 mg/h iv S-omeprazole</w:t>
      </w:r>
    </w:p>
    <w:p>
      <w:pPr>
        <w:pStyle w:val="BodyText"/>
      </w:pPr>
      <w:r>
        <w:t xml:space="preserve"> </w:t>
      </w:r>
    </w:p>
    <w:br w:type="page"/>
    <w:p>
      <w:pPr>
        <w:pStyle w:val="BodyText"/>
      </w:pPr>
      <w:bookmarkStart w:id="figure-3-11" w:name="figure-3-11"/>
      <w:bookmarkEnd w:id="figure-3-11"/>
    </w:p>
    <w:p>
      <w:pPr>
        <w:pStyle w:val="BodyText"/>
      </w:pPr>
      <w:r>
        <w:drawing>
          <wp:inline>
            <wp:extent cx="5969000" cy="4376470"/>
            <wp:effectExtent b="0" l="0" r="0" t="0"/>
            <wp:docPr descr="" title="" id="95" name="Picture"/>
            <a:graphic>
              <a:graphicData uri="http://schemas.openxmlformats.org/drawingml/2006/picture">
                <pic:pic>
                  <pic:nvPicPr>
                    <pic:cNvPr descr="images/006_section_results-and-discussion/009_section_ct-profiles/010_section_model-building/5_time_profile_plot_Omeprazole_E_5__Esomeprazole_IV_80mg_30min__8mg_h___SD__Rohss2007____pred.png" id="96" name="Picture"/>
                    <pic:cNvPicPr>
                      <a:picLocks noChangeArrowheads="1" noChangeAspect="1"/>
                    </pic:cNvPicPr>
                  </pic:nvPicPr>
                  <pic:blipFill>
                    <a:blip r:embed="rId94"/>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3-11: 80 mg 30 min + 8 mg/h iv S-omeprazole</w:t>
      </w:r>
    </w:p>
    <w:p>
      <w:pPr>
        <w:pStyle w:val="BodyText"/>
      </w:pPr>
      <w:r>
        <w:t xml:space="preserve"> </w:t>
      </w:r>
    </w:p>
    <w:br w:type="page"/>
    <w:p>
      <w:pPr>
        <w:pStyle w:val="BodyText"/>
      </w:pPr>
      <w:bookmarkStart w:id="figure-3-12" w:name="figure-3-12"/>
      <w:bookmarkEnd w:id="figure-3-12"/>
    </w:p>
    <w:p>
      <w:pPr>
        <w:pStyle w:val="BodyText"/>
      </w:pPr>
      <w:r>
        <w:drawing>
          <wp:inline>
            <wp:extent cx="5969000" cy="4376470"/>
            <wp:effectExtent b="0" l="0" r="0" t="0"/>
            <wp:docPr descr="" title="" id="98" name="Picture"/>
            <a:graphic>
              <a:graphicData uri="http://schemas.openxmlformats.org/drawingml/2006/picture">
                <pic:pic>
                  <pic:nvPicPr>
                    <pic:cNvPr descr="images/006_section_results-and-discussion/009_section_ct-profiles/010_section_model-building/6_time_profile_plot_Omeprazole_E_6__Esomeprazole_IV_120mg_30min__8mg_h___SD__Rohss2007_.png" id="99" name="Picture"/>
                    <pic:cNvPicPr>
                      <a:picLocks noChangeArrowheads="1" noChangeAspect="1"/>
                    </pic:cNvPicPr>
                  </pic:nvPicPr>
                  <pic:blipFill>
                    <a:blip r:embed="rId97"/>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3-12: 120 mg 30 min + 8 mg/h iv S-omeprazole</w:t>
      </w:r>
    </w:p>
    <w:p>
      <w:pPr>
        <w:pStyle w:val="BodyText"/>
      </w:pPr>
      <w:r>
        <w:t xml:space="preserve"> </w:t>
      </w:r>
    </w:p>
    <w:br w:type="page"/>
    <w:p>
      <w:pPr>
        <w:pStyle w:val="BodyText"/>
      </w:pPr>
      <w:bookmarkStart w:id="figure-3-13" w:name="figure-3-13"/>
      <w:bookmarkEnd w:id="figure-3-13"/>
    </w:p>
    <w:p>
      <w:pPr>
        <w:pStyle w:val="BodyText"/>
      </w:pPr>
      <w:r>
        <w:drawing>
          <wp:inline>
            <wp:extent cx="5969000" cy="4376470"/>
            <wp:effectExtent b="0" l="0" r="0" t="0"/>
            <wp:docPr descr="" title="" id="101" name="Picture"/>
            <a:graphic>
              <a:graphicData uri="http://schemas.openxmlformats.org/drawingml/2006/picture">
                <pic:pic>
                  <pic:nvPicPr>
                    <pic:cNvPr descr="images/006_section_results-and-discussion/009_section_ct-profiles/010_section_model-building/7_time_profile_plot_Omeprazole_E_7__Esomeprazole_IV_120mg_2h__8mg_h___SD__Rohss2007__.png" id="102" name="Picture"/>
                    <pic:cNvPicPr>
                      <a:picLocks noChangeArrowheads="1" noChangeAspect="1"/>
                    </pic:cNvPicPr>
                  </pic:nvPicPr>
                  <pic:blipFill>
                    <a:blip r:embed="rId100"/>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3-13: 120 mg 2h + 8 mg/h iv S-omeprazole</w:t>
      </w:r>
    </w:p>
    <w:p>
      <w:pPr>
        <w:pStyle w:val="BodyText"/>
      </w:pPr>
      <w:r>
        <w:t xml:space="preserve"> </w:t>
      </w:r>
    </w:p>
    <w:br w:type="page"/>
    <w:p>
      <w:pPr>
        <w:pStyle w:val="BodyText"/>
      </w:pPr>
      <w:bookmarkStart w:id="figure-3-14" w:name="figure-3-14"/>
      <w:bookmarkEnd w:id="figure-3-14"/>
    </w:p>
    <w:p>
      <w:pPr>
        <w:pStyle w:val="BodyText"/>
      </w:pPr>
      <w:r>
        <w:drawing>
          <wp:inline>
            <wp:extent cx="5969000" cy="4290517"/>
            <wp:effectExtent b="0" l="0" r="0" t="0"/>
            <wp:docPr descr="" title="" id="104" name="Picture"/>
            <a:graphic>
              <a:graphicData uri="http://schemas.openxmlformats.org/drawingml/2006/picture">
                <pic:pic>
                  <pic:nvPicPr>
                    <pic:cNvPr descr="images/006_section_results-and-discussion/009_section_ct-profiles/010_section_model-building/9_time_profile_plot_Omeprazole_E_8___Esomeprazole_PO_20_mg_oral_solution__5d_QD__Hassan_Alin2005__.png" id="105" name="Picture"/>
                    <pic:cNvPicPr>
                      <a:picLocks noChangeArrowheads="1" noChangeAspect="1"/>
                    </pic:cNvPicPr>
                  </pic:nvPicPr>
                  <pic:blipFill>
                    <a:blip r:embed="rId103"/>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3-14: 20 mg S-omeprazole oral solution</w:t>
      </w:r>
    </w:p>
    <w:p>
      <w:pPr>
        <w:pStyle w:val="BodyText"/>
      </w:pPr>
      <w:r>
        <w:t xml:space="preserve"> </w:t>
      </w:r>
    </w:p>
    <w:br w:type="page"/>
    <w:p>
      <w:pPr>
        <w:pStyle w:val="BodyText"/>
      </w:pPr>
      <w:bookmarkStart w:id="figure-3-15" w:name="figure-3-15"/>
      <w:bookmarkEnd w:id="figure-3-15"/>
    </w:p>
    <w:p>
      <w:pPr>
        <w:pStyle w:val="BodyText"/>
      </w:pPr>
      <w:r>
        <w:drawing>
          <wp:inline>
            <wp:extent cx="5969000" cy="4290517"/>
            <wp:effectExtent b="0" l="0" r="0" t="0"/>
            <wp:docPr descr="" title="" id="107" name="Picture"/>
            <a:graphic>
              <a:graphicData uri="http://schemas.openxmlformats.org/drawingml/2006/picture">
                <pic:pic>
                  <pic:nvPicPr>
                    <pic:cNvPr descr="images/006_section_results-and-discussion/009_section_ct-profiles/010_section_model-building/10_time_profile_plot_Omeprazole_E_9___Esomeprazole_PO_40_mg_oral_solution__5d_QD__Hassan_Alin2005_.png" id="108" name="Picture"/>
                    <pic:cNvPicPr>
                      <a:picLocks noChangeArrowheads="1" noChangeAspect="1"/>
                    </pic:cNvPicPr>
                  </pic:nvPicPr>
                  <pic:blipFill>
                    <a:blip r:embed="rId10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3-15: 40 mg S-omeprazole oral solution</w:t>
      </w:r>
    </w:p>
    <w:p>
      <w:pPr>
        <w:pStyle w:val="BodyText"/>
      </w:pPr>
      <w:r>
        <w:t xml:space="preserve"> </w:t>
      </w:r>
    </w:p>
    <w:br w:type="page"/>
    <w:p>
      <w:pPr>
        <w:pStyle w:val="BodyText"/>
      </w:pPr>
      <w:bookmarkStart w:id="figure-3-16" w:name="figure-3-16"/>
      <w:bookmarkEnd w:id="figure-3-16"/>
    </w:p>
    <w:p>
      <w:pPr>
        <w:pStyle w:val="BodyText"/>
      </w:pPr>
      <w:r>
        <w:drawing>
          <wp:inline>
            <wp:extent cx="5969000" cy="4471974"/>
            <wp:effectExtent b="0" l="0" r="0" t="0"/>
            <wp:docPr descr="" title="" id="110" name="Picture"/>
            <a:graphic>
              <a:graphicData uri="http://schemas.openxmlformats.org/drawingml/2006/picture">
                <pic:pic>
                  <pic:nvPicPr>
                    <pic:cNvPr descr="images/006_section_results-and-discussion/009_section_ct-profiles/010_section_model-building/12_time_profile_plot_Omeprazole_Esomeprazole_PO_40_mg_capsule___5d_QD__Wilder_Smith2005___with_Fit_formulation.png" id="111" name="Picture"/>
                    <pic:cNvPicPr>
                      <a:picLocks noChangeArrowheads="1" noChangeAspect="1"/>
                    </pic:cNvPicPr>
                  </pic:nvPicPr>
                  <pic:blipFill>
                    <a:blip r:embed="rId10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3-16: 40 mg S-omeprazole oral capsule</w:t>
      </w:r>
    </w:p>
    <w:p>
      <w:pPr>
        <w:pStyle w:val="BodyText"/>
      </w:pPr>
      <w:r>
        <w:t xml:space="preserve"> </w:t>
      </w:r>
    </w:p>
    <w:br w:type="page"/>
    <w:p>
      <w:pPr>
        <w:pStyle w:val="BodyText"/>
      </w:pPr>
      <w:bookmarkStart w:id="figure-3-17" w:name="figure-3-17"/>
      <w:bookmarkEnd w:id="figure-3-17"/>
    </w:p>
    <w:p>
      <w:pPr>
        <w:pStyle w:val="BodyText"/>
      </w:pPr>
      <w:r>
        <w:drawing>
          <wp:inline>
            <wp:extent cx="5969000" cy="4290517"/>
            <wp:effectExtent b="0" l="0" r="0" t="0"/>
            <wp:docPr descr="" title="" id="113" name="Picture"/>
            <a:graphic>
              <a:graphicData uri="http://schemas.openxmlformats.org/drawingml/2006/picture">
                <pic:pic>
                  <pic:nvPicPr>
                    <pic:cNvPr descr="images/006_section_results-and-discussion/009_section_ct-profiles/010_section_model-building/14_time_profile_plot_Omeprazole_R_3___R_omeprazole_po_15_mg___7d_QD__Andersson2000____EM.png" id="114" name="Picture"/>
                    <pic:cNvPicPr>
                      <a:picLocks noChangeArrowheads="1" noChangeAspect="1"/>
                    </pic:cNvPicPr>
                  </pic:nvPicPr>
                  <pic:blipFill>
                    <a:blip r:embed="rId11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3-17: 15 mg R-omeprazole oral solution day 6</w:t>
      </w:r>
    </w:p>
    <w:p>
      <w:pPr>
        <w:pStyle w:val="BodyText"/>
      </w:pPr>
      <w:r>
        <w:t xml:space="preserve"> </w:t>
      </w:r>
    </w:p>
    <w:br w:type="page"/>
    <w:p>
      <w:pPr>
        <w:pStyle w:val="BodyText"/>
      </w:pPr>
      <w:bookmarkStart w:id="figure-3-18" w:name="figure-3-18"/>
      <w:bookmarkEnd w:id="figure-3-18"/>
    </w:p>
    <w:p>
      <w:pPr>
        <w:pStyle w:val="BodyText"/>
      </w:pPr>
      <w:r>
        <w:drawing>
          <wp:inline>
            <wp:extent cx="5969000" cy="4739386"/>
            <wp:effectExtent b="0" l="0" r="0" t="0"/>
            <wp:docPr descr="" title="" id="116" name="Picture"/>
            <a:graphic>
              <a:graphicData uri="http://schemas.openxmlformats.org/drawingml/2006/picture">
                <pic:pic>
                  <pic:nvPicPr>
                    <pic:cNvPr descr="images/006_section_results-and-discussion/009_section_ct-profiles/010_section_model-building/15_time_profile_plot_Omeprazole_R_1___R_omeprazole_po_20_mg___5d_QD__Hassan_Alin2005_.png" id="117" name="Picture"/>
                    <pic:cNvPicPr>
                      <a:picLocks noChangeArrowheads="1" noChangeAspect="1"/>
                    </pic:cNvPicPr>
                  </pic:nvPicPr>
                  <pic:blipFill>
                    <a:blip r:embed="rId115"/>
                    <a:stretch>
                      <a:fillRect/>
                    </a:stretch>
                  </pic:blipFill>
                  <pic:spPr bwMode="auto">
                    <a:xfrm>
                      <a:off x="0" y="0"/>
                      <a:ext cx="5969000" cy="4739386"/>
                    </a:xfrm>
                    <a:prstGeom prst="rect">
                      <a:avLst/>
                    </a:prstGeom>
                    <a:noFill/>
                    <a:ln w="9525">
                      <a:noFill/>
                      <a:headEnd/>
                      <a:tailEnd/>
                    </a:ln>
                  </pic:spPr>
                </pic:pic>
              </a:graphicData>
            </a:graphic>
          </wp:inline>
        </w:drawing>
      </w:r>
    </w:p>
    <w:p>
      <w:pPr>
        <w:pStyle w:val="BodyText"/>
      </w:pPr>
      <w:r>
        <w:rPr>
          <w:bCs/>
          <w:b/>
        </w:rPr>
        <w:t xml:space="preserve">Figure 3-18: 20 mg R-omeprazole oral solution</w:t>
      </w:r>
    </w:p>
    <w:p>
      <w:pPr>
        <w:pStyle w:val="BodyText"/>
      </w:pPr>
      <w:r>
        <w:t xml:space="preserve"> </w:t>
      </w:r>
    </w:p>
    <w:br w:type="page"/>
    <w:p>
      <w:pPr>
        <w:pStyle w:val="BodyText"/>
      </w:pPr>
      <w:bookmarkStart w:id="figure-3-19" w:name="figure-3-19"/>
      <w:bookmarkEnd w:id="figure-3-19"/>
    </w:p>
    <w:p>
      <w:pPr>
        <w:pStyle w:val="BodyText"/>
      </w:pPr>
      <w:r>
        <w:drawing>
          <wp:inline>
            <wp:extent cx="5969000" cy="4290517"/>
            <wp:effectExtent b="0" l="0" r="0" t="0"/>
            <wp:docPr descr="" title="" id="119" name="Picture"/>
            <a:graphic>
              <a:graphicData uri="http://schemas.openxmlformats.org/drawingml/2006/picture">
                <pic:pic>
                  <pic:nvPicPr>
                    <pic:cNvPr descr="images/006_section_results-and-discussion/009_section_ct-profiles/010_section_model-building/16_time_profile_plot_Omeprazole_R_2___R_omeprazole_po_40_mg___5d_QD__Hassan_Alin2005_.png" id="120" name="Picture"/>
                    <pic:cNvPicPr>
                      <a:picLocks noChangeArrowheads="1" noChangeAspect="1"/>
                    </pic:cNvPicPr>
                  </pic:nvPicPr>
                  <pic:blipFill>
                    <a:blip r:embed="rId118"/>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3-19: 40 mg R-omeprazole oral solution</w:t>
      </w:r>
    </w:p>
    <w:p>
      <w:pPr>
        <w:pStyle w:val="BodyText"/>
      </w:pPr>
      <w:r>
        <w:t xml:space="preserve"> </w:t>
      </w:r>
    </w:p>
    <w:br w:type="page"/>
    <w:p>
      <w:pPr>
        <w:pStyle w:val="BodyText"/>
      </w:pPr>
      <w:bookmarkStart w:id="figure-3-20" w:name="figure-3-20"/>
      <w:bookmarkEnd w:id="figure-3-20"/>
    </w:p>
    <w:p>
      <w:pPr>
        <w:pStyle w:val="BodyText"/>
      </w:pPr>
      <w:r>
        <w:drawing>
          <wp:inline>
            <wp:extent cx="5969000" cy="4290517"/>
            <wp:effectExtent b="0" l="0" r="0" t="0"/>
            <wp:docPr descr="" title="" id="122" name="Picture"/>
            <a:graphic>
              <a:graphicData uri="http://schemas.openxmlformats.org/drawingml/2006/picture">
                <pic:pic>
                  <pic:nvPicPr>
                    <pic:cNvPr descr="images/006_section_results-and-discussion/009_section_ct-profiles/010_section_model-building/17_time_profile_plot_Omeprazole_R_4___R_omeprazole_po_60_mg___7d_QD__Andersson2000____PM___CL_Fit.png" id="123" name="Picture"/>
                    <pic:cNvPicPr>
                      <a:picLocks noChangeArrowheads="1" noChangeAspect="1"/>
                    </pic:cNvPicPr>
                  </pic:nvPicPr>
                  <pic:blipFill>
                    <a:blip r:embed="rId121"/>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3-20: 60 mg R-omeprazole oral solution EM day 6</w:t>
      </w:r>
    </w:p>
    <w:p>
      <w:pPr>
        <w:pStyle w:val="BodyText"/>
      </w:pPr>
      <w:r>
        <w:t xml:space="preserve"> </w:t>
      </w:r>
    </w:p>
    <w:br w:type="page"/>
    <w:p>
      <w:pPr>
        <w:pStyle w:val="BodyText"/>
      </w:pPr>
      <w:bookmarkStart w:id="figure-3-21" w:name="figure-3-21"/>
      <w:bookmarkEnd w:id="figure-3-21"/>
    </w:p>
    <w:p>
      <w:pPr>
        <w:pStyle w:val="BodyText"/>
      </w:pPr>
      <w:r>
        <w:drawing>
          <wp:inline>
            <wp:extent cx="5969000" cy="4653432"/>
            <wp:effectExtent b="0" l="0" r="0" t="0"/>
            <wp:docPr descr="" title="" id="125" name="Picture"/>
            <a:graphic>
              <a:graphicData uri="http://schemas.openxmlformats.org/drawingml/2006/picture">
                <pic:pic>
                  <pic:nvPicPr>
                    <pic:cNvPr descr="images/006_section_results-and-discussion/009_section_ct-profiles/010_section_model-building/18_time_profile_plot_Omeprazole_O5__Omeprazole_iv_10mg.png" id="126" name="Picture"/>
                    <pic:cNvPicPr>
                      <a:picLocks noChangeArrowheads="1" noChangeAspect="1"/>
                    </pic:cNvPicPr>
                  </pic:nvPicPr>
                  <pic:blipFill>
                    <a:blip r:embed="rId124"/>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3-21: 10 mg omeprazole iv</w:t>
      </w:r>
    </w:p>
    <w:p>
      <w:pPr>
        <w:pStyle w:val="BodyText"/>
      </w:pPr>
      <w:r>
        <w:t xml:space="preserve"> </w:t>
      </w:r>
    </w:p>
    <w:br w:type="page"/>
    <w:p>
      <w:pPr>
        <w:pStyle w:val="BodyText"/>
      </w:pPr>
      <w:bookmarkStart w:id="figure-3-22" w:name="figure-3-22"/>
      <w:bookmarkEnd w:id="figure-3-22"/>
    </w:p>
    <w:p>
      <w:pPr>
        <w:pStyle w:val="BodyText"/>
      </w:pPr>
      <w:r>
        <w:drawing>
          <wp:inline>
            <wp:extent cx="5969000" cy="4290517"/>
            <wp:effectExtent b="0" l="0" r="0" t="0"/>
            <wp:docPr descr="" title="" id="128" name="Picture"/>
            <a:graphic>
              <a:graphicData uri="http://schemas.openxmlformats.org/drawingml/2006/picture">
                <pic:pic>
                  <pic:nvPicPr>
                    <pic:cNvPr descr="images/006_section_results-and-discussion/009_section_ct-profiles/010_section_model-building/19_time_profile_plot_Omeprazole_O1__Omeprazole_iv_10_mg___SD__Regardh1990____PM.png" id="129" name="Picture"/>
                    <pic:cNvPicPr>
                      <a:picLocks noChangeArrowheads="1" noChangeAspect="1"/>
                    </pic:cNvPicPr>
                  </pic:nvPicPr>
                  <pic:blipFill>
                    <a:blip r:embed="rId127"/>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3-22: 10 mg omeprazole iv PM</w:t>
      </w:r>
    </w:p>
    <w:p>
      <w:pPr>
        <w:pStyle w:val="BodyText"/>
      </w:pPr>
      <w:r>
        <w:t xml:space="preserve"> </w:t>
      </w:r>
    </w:p>
    <w:br w:type="page"/>
    <w:p>
      <w:pPr>
        <w:pStyle w:val="BodyText"/>
      </w:pPr>
      <w:bookmarkStart w:id="figure-3-23" w:name="figure-3-23"/>
      <w:bookmarkEnd w:id="figure-3-23"/>
    </w:p>
    <w:p>
      <w:pPr>
        <w:pStyle w:val="BodyText"/>
      </w:pPr>
      <w:r>
        <w:drawing>
          <wp:inline>
            <wp:extent cx="5969000" cy="4471974"/>
            <wp:effectExtent b="0" l="0" r="0" t="0"/>
            <wp:docPr descr="" title="" id="131" name="Picture"/>
            <a:graphic>
              <a:graphicData uri="http://schemas.openxmlformats.org/drawingml/2006/picture">
                <pic:pic>
                  <pic:nvPicPr>
                    <pic:cNvPr descr="images/006_section_results-and-discussion/009_section_ct-profiles/010_section_model-building/20_time_profile_plot_Omeprazole_O4__Omeprazole_iv_20_mg___SD.png" id="132" name="Picture"/>
                    <pic:cNvPicPr>
                      <a:picLocks noChangeArrowheads="1" noChangeAspect="1"/>
                    </pic:cNvPicPr>
                  </pic:nvPicPr>
                  <pic:blipFill>
                    <a:blip r:embed="rId130"/>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3-23: 20 mg omeprazole iv</w:t>
      </w:r>
    </w:p>
    <w:p>
      <w:pPr>
        <w:pStyle w:val="BodyText"/>
      </w:pPr>
      <w:r>
        <w:t xml:space="preserve"> </w:t>
      </w:r>
    </w:p>
    <w:br w:type="page"/>
    <w:p>
      <w:pPr>
        <w:pStyle w:val="BodyText"/>
      </w:pPr>
      <w:bookmarkStart w:id="figure-3-24" w:name="figure-3-24"/>
      <w:bookmarkEnd w:id="figure-3-24"/>
    </w:p>
    <w:p>
      <w:pPr>
        <w:pStyle w:val="BodyText"/>
      </w:pPr>
      <w:r>
        <w:drawing>
          <wp:inline>
            <wp:extent cx="5969000" cy="4290517"/>
            <wp:effectExtent b="0" l="0" r="0" t="0"/>
            <wp:docPr descr="" title="" id="134" name="Picture"/>
            <a:graphic>
              <a:graphicData uri="http://schemas.openxmlformats.org/drawingml/2006/picture">
                <pic:pic>
                  <pic:nvPicPr>
                    <pic:cNvPr descr="images/006_section_results-and-discussion/009_section_ct-profiles/010_section_model-building/21_time_profile_plot_Omeprazole_O2__Omeprazole_iv_20_mg___SD_in_PM__Uno2007_.png" id="135" name="Picture"/>
                    <pic:cNvPicPr>
                      <a:picLocks noChangeArrowheads="1" noChangeAspect="1"/>
                    </pic:cNvPicPr>
                  </pic:nvPicPr>
                  <pic:blipFill>
                    <a:blip r:embed="rId133"/>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3-24: 20 mg omeprazole iv PM</w:t>
      </w:r>
    </w:p>
    <w:p>
      <w:pPr>
        <w:pStyle w:val="BodyText"/>
      </w:pPr>
      <w:r>
        <w:t xml:space="preserve"> </w:t>
      </w:r>
    </w:p>
    <w:br w:type="page"/>
    <w:p>
      <w:pPr>
        <w:pStyle w:val="BodyText"/>
      </w:pPr>
      <w:bookmarkStart w:id="figure-3-25" w:name="figure-3-25"/>
      <w:bookmarkEnd w:id="figure-3-25"/>
    </w:p>
    <w:p>
      <w:pPr>
        <w:pStyle w:val="BodyText"/>
      </w:pPr>
      <w:r>
        <w:drawing>
          <wp:inline>
            <wp:extent cx="5969000" cy="4653432"/>
            <wp:effectExtent b="0" l="0" r="0" t="0"/>
            <wp:docPr descr="" title="" id="137" name="Picture"/>
            <a:graphic>
              <a:graphicData uri="http://schemas.openxmlformats.org/drawingml/2006/picture">
                <pic:pic>
                  <pic:nvPicPr>
                    <pic:cNvPr descr="images/006_section_results-and-discussion/009_section_ct-profiles/010_section_model-building/22_time_profile_plot_Omeprazole_O3__Omeprazole_iv_40_mg___SD.png" id="138" name="Picture"/>
                    <pic:cNvPicPr>
                      <a:picLocks noChangeArrowheads="1" noChangeAspect="1"/>
                    </pic:cNvPicPr>
                  </pic:nvPicPr>
                  <pic:blipFill>
                    <a:blip r:embed="rId136"/>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3-25: 40 mg omeprazole iv</w:t>
      </w:r>
    </w:p>
    <w:p>
      <w:pPr>
        <w:pStyle w:val="BodyText"/>
      </w:pPr>
      <w:r>
        <w:t xml:space="preserve"> </w:t>
      </w:r>
    </w:p>
    <w:br w:type="page"/>
    <w:p>
      <w:pPr>
        <w:pStyle w:val="BodyText"/>
      </w:pPr>
      <w:bookmarkStart w:id="figure-3-26" w:name="figure-3-26"/>
      <w:bookmarkEnd w:id="figure-3-26"/>
    </w:p>
    <w:p>
      <w:pPr>
        <w:pStyle w:val="BodyText"/>
      </w:pPr>
      <w:r>
        <w:drawing>
          <wp:inline>
            <wp:extent cx="5969000" cy="4471974"/>
            <wp:effectExtent b="0" l="0" r="0" t="0"/>
            <wp:docPr descr="" title="" id="140" name="Picture"/>
            <a:graphic>
              <a:graphicData uri="http://schemas.openxmlformats.org/drawingml/2006/picture">
                <pic:pic>
                  <pic:nvPicPr>
                    <pic:cNvPr descr="images/006_section_results-and-discussion/009_section_ct-profiles/010_section_model-building/23_time_profile_plot_Omeprazole_O6__Omeprazole_iv_80mg.png" id="141" name="Picture"/>
                    <pic:cNvPicPr>
                      <a:picLocks noChangeArrowheads="1" noChangeAspect="1"/>
                    </pic:cNvPicPr>
                  </pic:nvPicPr>
                  <pic:blipFill>
                    <a:blip r:embed="rId13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3-26: 80 mg omeprazole iv</w:t>
      </w:r>
    </w:p>
    <w:p>
      <w:pPr>
        <w:pStyle w:val="BodyText"/>
      </w:pPr>
      <w:r>
        <w:t xml:space="preserve"> </w:t>
      </w:r>
    </w:p>
    <w:br w:type="page"/>
    <w:p>
      <w:pPr>
        <w:pStyle w:val="BodyText"/>
      </w:pPr>
      <w:bookmarkStart w:id="figure-3-27" w:name="figure-3-27"/>
      <w:bookmarkEnd w:id="figure-3-27"/>
    </w:p>
    <w:p>
      <w:pPr>
        <w:pStyle w:val="BodyText"/>
      </w:pPr>
      <w:r>
        <w:drawing>
          <wp:inline>
            <wp:extent cx="5969000" cy="4376470"/>
            <wp:effectExtent b="0" l="0" r="0" t="0"/>
            <wp:docPr descr="" title="" id="143" name="Picture"/>
            <a:graphic>
              <a:graphicData uri="http://schemas.openxmlformats.org/drawingml/2006/picture">
                <pic:pic>
                  <pic:nvPicPr>
                    <pic:cNvPr descr="images/006_section_results-and-discussion/009_section_ct-profiles/010_section_model-building/34_time_profile_plot_Omeprazole_O92__Omeprazole_po_60_mg___oral_solution___MD_in_PM.png" id="144" name="Picture"/>
                    <pic:cNvPicPr>
                      <a:picLocks noChangeArrowheads="1" noChangeAspect="1"/>
                    </pic:cNvPicPr>
                  </pic:nvPicPr>
                  <pic:blipFill>
                    <a:blip r:embed="rId142"/>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3-27: 60 mg omeprazole oral solution PM day 6</w:t>
      </w:r>
    </w:p>
    <w:p>
      <w:pPr>
        <w:pStyle w:val="BodyText"/>
      </w:pPr>
      <w:r>
        <w:t xml:space="preserve"> </w:t>
      </w:r>
    </w:p>
    <w:bookmarkEnd w:id="145"/>
    <w:bookmarkStart w:id="191" w:name="model-verification"/>
    <w:p>
      <w:pPr>
        <w:pStyle w:val="Heading3"/>
      </w:pPr>
      <w:r>
        <w:t xml:space="preserve">Model Verification</w:t>
      </w:r>
      <w:bookmarkStart w:id="model-verification" w:name="model-verification"/>
      <w:bookmarkEnd w:id="model-verification"/>
    </w:p>
    <w:br w:type="page"/>
    <w:p>
      <w:pPr>
        <w:pStyle w:val="FirstParagraph"/>
      </w:pPr>
      <w:bookmarkStart w:id="figure-3-28" w:name="figure-3-28"/>
      <w:bookmarkEnd w:id="figure-3-28"/>
    </w:p>
    <w:p>
      <w:pPr>
        <w:pStyle w:val="BodyText"/>
      </w:pPr>
      <w:r>
        <w:drawing>
          <wp:inline>
            <wp:extent cx="5969000" cy="4290517"/>
            <wp:effectExtent b="0" l="0" r="0" t="0"/>
            <wp:docPr descr="" title="" id="147" name="Picture"/>
            <a:graphic>
              <a:graphicData uri="http://schemas.openxmlformats.org/drawingml/2006/picture">
                <pic:pic>
                  <pic:nvPicPr>
                    <pic:cNvPr descr="images/006_section_results-and-discussion/009_section_ct-profiles/011_section_model-verification/8_time_profile_plot_Omeprazole_E_13___MD_in_EM___Esomeprazole_PO_15_mg_solution__Andersson2000_.png" id="148" name="Picture"/>
                    <pic:cNvPicPr>
                      <a:picLocks noChangeArrowheads="1" noChangeAspect="1"/>
                    </pic:cNvPicPr>
                  </pic:nvPicPr>
                  <pic:blipFill>
                    <a:blip r:embed="rId14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3-28: 15 mg S-omeprazole oral solution</w:t>
      </w:r>
    </w:p>
    <w:p>
      <w:pPr>
        <w:pStyle w:val="BodyText"/>
      </w:pPr>
      <w:r>
        <w:t xml:space="preserve"> </w:t>
      </w:r>
    </w:p>
    <w:br w:type="page"/>
    <w:p>
      <w:pPr>
        <w:pStyle w:val="BodyText"/>
      </w:pPr>
      <w:bookmarkStart w:id="figure-3-29" w:name="figure-3-29"/>
      <w:bookmarkEnd w:id="figure-3-29"/>
    </w:p>
    <w:p>
      <w:pPr>
        <w:pStyle w:val="BodyText"/>
      </w:pPr>
      <w:r>
        <w:drawing>
          <wp:inline>
            <wp:extent cx="5969000" cy="4290517"/>
            <wp:effectExtent b="0" l="0" r="0" t="0"/>
            <wp:docPr descr="" title="" id="150" name="Picture"/>
            <a:graphic>
              <a:graphicData uri="http://schemas.openxmlformats.org/drawingml/2006/picture">
                <pic:pic>
                  <pic:nvPicPr>
                    <pic:cNvPr descr="images/006_section_results-and-discussion/009_section_ct-profiles/011_section_model-verification/11_time_profile_plot_Omeprazole_E_11___SD_in_EM___Esomeprazole_PO_40_mg__FDA___same_schema_as_E_9.png" id="151" name="Picture"/>
                    <pic:cNvPicPr>
                      <a:picLocks noChangeArrowheads="1" noChangeAspect="1"/>
                    </pic:cNvPicPr>
                  </pic:nvPicPr>
                  <pic:blipFill>
                    <a:blip r:embed="rId149"/>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3-29: 40 mg S-omeprazole oral solution</w:t>
      </w:r>
    </w:p>
    <w:p>
      <w:pPr>
        <w:pStyle w:val="BodyText"/>
      </w:pPr>
      <w:r>
        <w:t xml:space="preserve"> </w:t>
      </w:r>
    </w:p>
    <w:br w:type="page"/>
    <w:p>
      <w:pPr>
        <w:pStyle w:val="BodyText"/>
      </w:pPr>
      <w:bookmarkStart w:id="figure-3-30" w:name="figure-3-30"/>
      <w:bookmarkEnd w:id="figure-3-30"/>
    </w:p>
    <w:p>
      <w:pPr>
        <w:pStyle w:val="BodyText"/>
      </w:pPr>
      <w:r>
        <w:drawing>
          <wp:inline>
            <wp:extent cx="5969000" cy="4290517"/>
            <wp:effectExtent b="0" l="0" r="0" t="0"/>
            <wp:docPr descr="" title="" id="153" name="Picture"/>
            <a:graphic>
              <a:graphicData uri="http://schemas.openxmlformats.org/drawingml/2006/picture">
                <pic:pic>
                  <pic:nvPicPr>
                    <pic:cNvPr descr="images/006_section_results-and-discussion/009_section_ct-profiles/011_section_model-verification/13_time_profile_plot_Omeprazole_E_14___MD_in_PM__no_2C19CL____Esomeprazole_PO_60_mg_solution__Andersson2000_.png" id="154" name="Picture"/>
                    <pic:cNvPicPr>
                      <a:picLocks noChangeArrowheads="1" noChangeAspect="1"/>
                    </pic:cNvPicPr>
                  </pic:nvPicPr>
                  <pic:blipFill>
                    <a:blip r:embed="rId152"/>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3-30: 60 mg S-omeprazole oral solution PM</w:t>
      </w:r>
    </w:p>
    <w:p>
      <w:pPr>
        <w:pStyle w:val="BodyText"/>
      </w:pPr>
      <w:r>
        <w:t xml:space="preserve"> </w:t>
      </w:r>
    </w:p>
    <w:br w:type="page"/>
    <w:p>
      <w:pPr>
        <w:pStyle w:val="BodyText"/>
      </w:pPr>
      <w:bookmarkStart w:id="figure-3-31" w:name="figure-3-31"/>
      <w:bookmarkEnd w:id="figure-3-31"/>
    </w:p>
    <w:p>
      <w:pPr>
        <w:pStyle w:val="BodyText"/>
      </w:pPr>
      <w:r>
        <w:drawing>
          <wp:inline>
            <wp:extent cx="5969000" cy="4462424"/>
            <wp:effectExtent b="0" l="0" r="0" t="0"/>
            <wp:docPr descr="" title="" id="156" name="Picture"/>
            <a:graphic>
              <a:graphicData uri="http://schemas.openxmlformats.org/drawingml/2006/picture">
                <pic:pic>
                  <pic:nvPicPr>
                    <pic:cNvPr descr="images/006_section_results-and-discussion/009_section_ct-profiles/011_section_model-verification/24_time_profile_plot_Omeprazole_O9__Omeprazole_po_15_mg___oral_solution____Andersson2000____MD_in_EM.png" id="157" name="Picture"/>
                    <pic:cNvPicPr>
                      <a:picLocks noChangeArrowheads="1" noChangeAspect="1"/>
                    </pic:cNvPicPr>
                  </pic:nvPicPr>
                  <pic:blipFill>
                    <a:blip r:embed="rId155"/>
                    <a:stretch>
                      <a:fillRect/>
                    </a:stretch>
                  </pic:blipFill>
                  <pic:spPr bwMode="auto">
                    <a:xfrm>
                      <a:off x="0" y="0"/>
                      <a:ext cx="5969000" cy="4462424"/>
                    </a:xfrm>
                    <a:prstGeom prst="rect">
                      <a:avLst/>
                    </a:prstGeom>
                    <a:noFill/>
                    <a:ln w="9525">
                      <a:noFill/>
                      <a:headEnd/>
                      <a:tailEnd/>
                    </a:ln>
                  </pic:spPr>
                </pic:pic>
              </a:graphicData>
            </a:graphic>
          </wp:inline>
        </w:drawing>
      </w:r>
    </w:p>
    <w:p>
      <w:pPr>
        <w:pStyle w:val="BodyText"/>
      </w:pPr>
      <w:r>
        <w:rPr>
          <w:bCs/>
          <w:b/>
        </w:rPr>
        <w:t xml:space="preserve">Figure 3-31: 15 mg omeprazole oral solution day 6</w:t>
      </w:r>
    </w:p>
    <w:p>
      <w:pPr>
        <w:pStyle w:val="BodyText"/>
      </w:pPr>
      <w:r>
        <w:t xml:space="preserve"> </w:t>
      </w:r>
    </w:p>
    <w:br w:type="page"/>
    <w:p>
      <w:pPr>
        <w:pStyle w:val="BodyText"/>
      </w:pPr>
      <w:bookmarkStart w:id="figure-3-32" w:name="figure-3-32"/>
      <w:bookmarkEnd w:id="figure-3-32"/>
    </w:p>
    <w:p>
      <w:pPr>
        <w:pStyle w:val="BodyText"/>
      </w:pPr>
      <w:r>
        <w:drawing>
          <wp:inline>
            <wp:extent cx="5969000" cy="4653432"/>
            <wp:effectExtent b="0" l="0" r="0" t="0"/>
            <wp:docPr descr="" title="" id="159" name="Picture"/>
            <a:graphic>
              <a:graphicData uri="http://schemas.openxmlformats.org/drawingml/2006/picture">
                <pic:pic>
                  <pic:nvPicPr>
                    <pic:cNvPr descr="images/006_section_results-and-discussion/009_section_ct-profiles/011_section_model-verification/25_time_profile_plot_Omeprazole_O8__Omeprazole_po_20_mg___oral_solution___SD_and_MD.png" id="160" name="Picture"/>
                    <pic:cNvPicPr>
                      <a:picLocks noChangeArrowheads="1" noChangeAspect="1"/>
                    </pic:cNvPicPr>
                  </pic:nvPicPr>
                  <pic:blipFill>
                    <a:blip r:embed="rId158"/>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3-32: 20 mg po solution - day 1</w:t>
      </w:r>
    </w:p>
    <w:p>
      <w:pPr>
        <w:pStyle w:val="BodyText"/>
      </w:pPr>
      <w:r>
        <w:t xml:space="preserve"> </w:t>
      </w:r>
    </w:p>
    <w:br w:type="page"/>
    <w:p>
      <w:pPr>
        <w:pStyle w:val="BodyText"/>
      </w:pPr>
      <w:bookmarkStart w:id="figure-3-33" w:name="figure-3-33"/>
      <w:bookmarkEnd w:id="figure-3-33"/>
    </w:p>
    <w:p>
      <w:pPr>
        <w:pStyle w:val="BodyText"/>
      </w:pPr>
      <w:r>
        <w:drawing>
          <wp:inline>
            <wp:extent cx="5969000" cy="4739386"/>
            <wp:effectExtent b="0" l="0" r="0" t="0"/>
            <wp:docPr descr="" title="" id="162" name="Picture"/>
            <a:graphic>
              <a:graphicData uri="http://schemas.openxmlformats.org/drawingml/2006/picture">
                <pic:pic>
                  <pic:nvPicPr>
                    <pic:cNvPr descr="images/006_section_results-and-discussion/009_section_ct-profiles/011_section_model-verification/26_time_profile_plot_Omeprazole_O8__Omeprazole_po_20_mg___oral_solution___SD_and_MD.png" id="163" name="Picture"/>
                    <pic:cNvPicPr>
                      <a:picLocks noChangeArrowheads="1" noChangeAspect="1"/>
                    </pic:cNvPicPr>
                  </pic:nvPicPr>
                  <pic:blipFill>
                    <a:blip r:embed="rId161"/>
                    <a:stretch>
                      <a:fillRect/>
                    </a:stretch>
                  </pic:blipFill>
                  <pic:spPr bwMode="auto">
                    <a:xfrm>
                      <a:off x="0" y="0"/>
                      <a:ext cx="5969000" cy="4739386"/>
                    </a:xfrm>
                    <a:prstGeom prst="rect">
                      <a:avLst/>
                    </a:prstGeom>
                    <a:noFill/>
                    <a:ln w="9525">
                      <a:noFill/>
                      <a:headEnd/>
                      <a:tailEnd/>
                    </a:ln>
                  </pic:spPr>
                </pic:pic>
              </a:graphicData>
            </a:graphic>
          </wp:inline>
        </w:drawing>
      </w:r>
    </w:p>
    <w:p>
      <w:pPr>
        <w:pStyle w:val="BodyText"/>
      </w:pPr>
      <w:r>
        <w:rPr>
          <w:bCs/>
          <w:b/>
        </w:rPr>
        <w:t xml:space="preserve">Figure 3-33: 20 mg omeprazole oral solution - day 4</w:t>
      </w:r>
    </w:p>
    <w:p>
      <w:pPr>
        <w:pStyle w:val="BodyText"/>
      </w:pPr>
      <w:r>
        <w:t xml:space="preserve"> </w:t>
      </w:r>
    </w:p>
    <w:br w:type="page"/>
    <w:p>
      <w:pPr>
        <w:pStyle w:val="BodyText"/>
      </w:pPr>
      <w:bookmarkStart w:id="figure-3-34" w:name="figure-3-34"/>
      <w:bookmarkEnd w:id="figure-3-34"/>
    </w:p>
    <w:p>
      <w:pPr>
        <w:pStyle w:val="BodyText"/>
      </w:pPr>
      <w:r>
        <w:drawing>
          <wp:inline>
            <wp:extent cx="5969000" cy="4653432"/>
            <wp:effectExtent b="0" l="0" r="0" t="0"/>
            <wp:docPr descr="" title="" id="165" name="Picture"/>
            <a:graphic>
              <a:graphicData uri="http://schemas.openxmlformats.org/drawingml/2006/picture">
                <pic:pic>
                  <pic:nvPicPr>
                    <pic:cNvPr descr="images/006_section_results-and-discussion/009_section_ct-profiles/011_section_model-verification/27_time_profile_plot_Omeprazole_O8__Omeprazole_po_20_mg___5d_QD___capsule.png" id="166" name="Picture"/>
                    <pic:cNvPicPr>
                      <a:picLocks noChangeArrowheads="1" noChangeAspect="1"/>
                    </pic:cNvPicPr>
                  </pic:nvPicPr>
                  <pic:blipFill>
                    <a:blip r:embed="rId164"/>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3-34: 20 mg po capsule - day 1</w:t>
      </w:r>
    </w:p>
    <w:p>
      <w:pPr>
        <w:pStyle w:val="BodyText"/>
      </w:pPr>
      <w:r>
        <w:t xml:space="preserve"> </w:t>
      </w:r>
    </w:p>
    <w:br w:type="page"/>
    <w:p>
      <w:pPr>
        <w:pStyle w:val="BodyText"/>
      </w:pPr>
      <w:bookmarkStart w:id="figure-3-35" w:name="figure-3-35"/>
      <w:bookmarkEnd w:id="figure-3-35"/>
    </w:p>
    <w:p>
      <w:pPr>
        <w:pStyle w:val="BodyText"/>
      </w:pPr>
      <w:r>
        <w:drawing>
          <wp:inline>
            <wp:extent cx="5969000" cy="4653432"/>
            <wp:effectExtent b="0" l="0" r="0" t="0"/>
            <wp:docPr descr="" title="" id="168" name="Picture"/>
            <a:graphic>
              <a:graphicData uri="http://schemas.openxmlformats.org/drawingml/2006/picture">
                <pic:pic>
                  <pic:nvPicPr>
                    <pic:cNvPr descr="images/006_section_results-and-discussion/009_section_ct-profiles/011_section_model-verification/28_time_profile_plot_Omeprazole_O8__Omeprazole_po_20_mg___5d_QD___capsule.png" id="169" name="Picture"/>
                    <pic:cNvPicPr>
                      <a:picLocks noChangeArrowheads="1" noChangeAspect="1"/>
                    </pic:cNvPicPr>
                  </pic:nvPicPr>
                  <pic:blipFill>
                    <a:blip r:embed="rId167"/>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3-35: 20 mg po capsule - day 5</w:t>
      </w:r>
    </w:p>
    <w:p>
      <w:pPr>
        <w:pStyle w:val="BodyText"/>
      </w:pPr>
      <w:r>
        <w:t xml:space="preserve"> </w:t>
      </w:r>
    </w:p>
    <w:br w:type="page"/>
    <w:p>
      <w:pPr>
        <w:pStyle w:val="BodyText"/>
      </w:pPr>
      <w:bookmarkStart w:id="figure-3-36" w:name="figure-3-36"/>
      <w:bookmarkEnd w:id="figure-3-36"/>
    </w:p>
    <w:p>
      <w:pPr>
        <w:pStyle w:val="BodyText"/>
      </w:pPr>
      <w:r>
        <w:drawing>
          <wp:inline>
            <wp:extent cx="5969000" cy="4290517"/>
            <wp:effectExtent b="0" l="0" r="0" t="0"/>
            <wp:docPr descr="" title="" id="171" name="Picture"/>
            <a:graphic>
              <a:graphicData uri="http://schemas.openxmlformats.org/drawingml/2006/picture">
                <pic:pic>
                  <pic:nvPicPr>
                    <pic:cNvPr descr="images/006_section_results-and-discussion/009_section_ct-profiles/011_section_model-verification/29_time_profile_plot_Omeprazole_O8__Omeprazole_po_20_mg___5d_QD___capsule___PM.png" id="172" name="Picture"/>
                    <pic:cNvPicPr>
                      <a:picLocks noChangeArrowheads="1" noChangeAspect="1"/>
                    </pic:cNvPicPr>
                  </pic:nvPicPr>
                  <pic:blipFill>
                    <a:blip r:embed="rId170"/>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3-36: 20 mg omeprazole oral capsule PM</w:t>
      </w:r>
    </w:p>
    <w:p>
      <w:pPr>
        <w:pStyle w:val="BodyText"/>
      </w:pPr>
      <w:r>
        <w:t xml:space="preserve"> </w:t>
      </w:r>
    </w:p>
    <w:br w:type="page"/>
    <w:p>
      <w:pPr>
        <w:pStyle w:val="BodyText"/>
      </w:pPr>
      <w:bookmarkStart w:id="figure-3-37" w:name="figure-3-37"/>
      <w:bookmarkEnd w:id="figure-3-37"/>
    </w:p>
    <w:p>
      <w:pPr>
        <w:pStyle w:val="BodyText"/>
      </w:pPr>
      <w:r>
        <w:drawing>
          <wp:inline>
            <wp:extent cx="5969000" cy="4653432"/>
            <wp:effectExtent b="0" l="0" r="0" t="0"/>
            <wp:docPr descr="" title="" id="174" name="Picture"/>
            <a:graphic>
              <a:graphicData uri="http://schemas.openxmlformats.org/drawingml/2006/picture">
                <pic:pic>
                  <pic:nvPicPr>
                    <pic:cNvPr descr="images/006_section_results-and-discussion/009_section_ct-profiles/011_section_model-verification/30_time_profile_plot_Omeprazole_O7__Omeprazole_po_40mg___oral_solution__SD_and_MD.png" id="175" name="Picture"/>
                    <pic:cNvPicPr>
                      <a:picLocks noChangeArrowheads="1" noChangeAspect="1"/>
                    </pic:cNvPicPr>
                  </pic:nvPicPr>
                  <pic:blipFill>
                    <a:blip r:embed="rId173"/>
                    <a:stretch>
                      <a:fillRect/>
                    </a:stretch>
                  </pic:blipFill>
                  <pic:spPr bwMode="auto">
                    <a:xfrm>
                      <a:off x="0" y="0"/>
                      <a:ext cx="5969000" cy="4653432"/>
                    </a:xfrm>
                    <a:prstGeom prst="rect">
                      <a:avLst/>
                    </a:prstGeom>
                    <a:noFill/>
                    <a:ln w="9525">
                      <a:noFill/>
                      <a:headEnd/>
                      <a:tailEnd/>
                    </a:ln>
                  </pic:spPr>
                </pic:pic>
              </a:graphicData>
            </a:graphic>
          </wp:inline>
        </w:drawing>
      </w:r>
    </w:p>
    <w:p>
      <w:pPr>
        <w:pStyle w:val="BodyText"/>
      </w:pPr>
      <w:r>
        <w:rPr>
          <w:bCs/>
          <w:b/>
        </w:rPr>
        <w:t xml:space="preserve">Figure 3-37: 40 mg omeprazole oral solution</w:t>
      </w:r>
    </w:p>
    <w:p>
      <w:pPr>
        <w:pStyle w:val="BodyText"/>
      </w:pPr>
      <w:r>
        <w:t xml:space="preserve"> </w:t>
      </w:r>
    </w:p>
    <w:br w:type="page"/>
    <w:p>
      <w:pPr>
        <w:pStyle w:val="BodyText"/>
      </w:pPr>
      <w:bookmarkStart w:id="figure-3-38" w:name="figure-3-38"/>
      <w:bookmarkEnd w:id="figure-3-38"/>
    </w:p>
    <w:p>
      <w:pPr>
        <w:pStyle w:val="BodyText"/>
      </w:pPr>
      <w:r>
        <w:drawing>
          <wp:inline>
            <wp:extent cx="5969000" cy="4290517"/>
            <wp:effectExtent b="0" l="0" r="0" t="0"/>
            <wp:docPr descr="" title="" id="177" name="Picture"/>
            <a:graphic>
              <a:graphicData uri="http://schemas.openxmlformats.org/drawingml/2006/picture">
                <pic:pic>
                  <pic:nvPicPr>
                    <pic:cNvPr descr="images/006_section_results-and-discussion/009_section_ct-profiles/011_section_model-verification/31_time_profile_plot_Omeprazole_O_1__pop___Omeprazole_po_20_mg___DDI_without_moclobemide____Cho2002_.png" id="178" name="Picture"/>
                    <pic:cNvPicPr>
                      <a:picLocks noChangeArrowheads="1" noChangeAspect="1"/>
                    </pic:cNvPicPr>
                  </pic:nvPicPr>
                  <pic:blipFill>
                    <a:blip r:embed="rId176"/>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3-38: 40 mg omeprazole oral capsule</w:t>
      </w:r>
    </w:p>
    <w:p>
      <w:pPr>
        <w:pStyle w:val="BodyText"/>
      </w:pPr>
      <w:r>
        <w:t xml:space="preserve"> </w:t>
      </w:r>
    </w:p>
    <w:br w:type="page"/>
    <w:p>
      <w:pPr>
        <w:pStyle w:val="BodyText"/>
      </w:pPr>
      <w:bookmarkStart w:id="figure-3-39" w:name="figure-3-39"/>
      <w:bookmarkEnd w:id="figure-3-39"/>
    </w:p>
    <w:p>
      <w:pPr>
        <w:pStyle w:val="BodyText"/>
      </w:pPr>
      <w:r>
        <w:drawing>
          <wp:inline>
            <wp:extent cx="5969000" cy="4471974"/>
            <wp:effectExtent b="0" l="0" r="0" t="0"/>
            <wp:docPr descr="" title="" id="180" name="Picture"/>
            <a:graphic>
              <a:graphicData uri="http://schemas.openxmlformats.org/drawingml/2006/picture">
                <pic:pic>
                  <pic:nvPicPr>
                    <pic:cNvPr descr="images/006_section_results-and-discussion/009_section_ct-profiles/011_section_model-verification/32_time_profile_plot_Omeprazole_O_1__pop___Omeprazole_po_20_mg___DDI_without_moclobemide____Cho2002__pm.png" id="181" name="Picture"/>
                    <pic:cNvPicPr>
                      <a:picLocks noChangeArrowheads="1" noChangeAspect="1"/>
                    </pic:cNvPicPr>
                  </pic:nvPicPr>
                  <pic:blipFill>
                    <a:blip r:embed="rId179"/>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3-39: 40 mg omeprazole oral capsule PM</w:t>
      </w:r>
    </w:p>
    <w:p>
      <w:pPr>
        <w:pStyle w:val="BodyText"/>
      </w:pPr>
      <w:r>
        <w:t xml:space="preserve"> </w:t>
      </w:r>
    </w:p>
    <w:br w:type="page"/>
    <w:p>
      <w:pPr>
        <w:pStyle w:val="BodyText"/>
      </w:pPr>
      <w:bookmarkStart w:id="figure-3-40" w:name="figure-3-40"/>
      <w:bookmarkEnd w:id="figure-3-40"/>
    </w:p>
    <w:p>
      <w:pPr>
        <w:pStyle w:val="BodyText"/>
      </w:pPr>
      <w:r>
        <w:drawing>
          <wp:inline>
            <wp:extent cx="5969000" cy="4471974"/>
            <wp:effectExtent b="0" l="0" r="0" t="0"/>
            <wp:docPr descr="" title="" id="183" name="Picture"/>
            <a:graphic>
              <a:graphicData uri="http://schemas.openxmlformats.org/drawingml/2006/picture">
                <pic:pic>
                  <pic:nvPicPr>
                    <pic:cNvPr descr="images/006_section_results-and-discussion/009_section_ct-profiles/011_section_model-verification/33_time_profile_plot_Omeprazole_O7__Omeprazole_po_40_mg___5d_QD_japanese___capsule___EM.png" id="184" name="Picture"/>
                    <pic:cNvPicPr>
                      <a:picLocks noChangeArrowheads="1" noChangeAspect="1"/>
                    </pic:cNvPicPr>
                  </pic:nvPicPr>
                  <pic:blipFill>
                    <a:blip r:embed="rId182"/>
                    <a:stretch>
                      <a:fillRect/>
                    </a:stretch>
                  </pic:blipFill>
                  <pic:spPr bwMode="auto">
                    <a:xfrm>
                      <a:off x="0" y="0"/>
                      <a:ext cx="5969000" cy="4471974"/>
                    </a:xfrm>
                    <a:prstGeom prst="rect">
                      <a:avLst/>
                    </a:prstGeom>
                    <a:noFill/>
                    <a:ln w="9525">
                      <a:noFill/>
                      <a:headEnd/>
                      <a:tailEnd/>
                    </a:ln>
                  </pic:spPr>
                </pic:pic>
              </a:graphicData>
            </a:graphic>
          </wp:inline>
        </w:drawing>
      </w:r>
    </w:p>
    <w:p>
      <w:pPr>
        <w:pStyle w:val="BodyText"/>
      </w:pPr>
      <w:r>
        <w:rPr>
          <w:bCs/>
          <w:b/>
        </w:rPr>
        <w:t xml:space="preserve">Figure 3-40: 40 mg omeprazole oral capsule Japanese</w:t>
      </w:r>
    </w:p>
    <w:p>
      <w:pPr>
        <w:pStyle w:val="BodyText"/>
      </w:pPr>
      <w:r>
        <w:t xml:space="preserve"> </w:t>
      </w:r>
    </w:p>
    <w:br w:type="page"/>
    <w:p>
      <w:pPr>
        <w:pStyle w:val="BodyText"/>
      </w:pPr>
      <w:bookmarkStart w:id="figure-3-41" w:name="figure-3-41"/>
      <w:bookmarkEnd w:id="figure-3-41"/>
    </w:p>
    <w:p>
      <w:pPr>
        <w:pStyle w:val="BodyText"/>
      </w:pPr>
      <w:r>
        <w:drawing>
          <wp:inline>
            <wp:extent cx="5969000" cy="4290517"/>
            <wp:effectExtent b="0" l="0" r="0" t="0"/>
            <wp:docPr descr="" title="" id="186" name="Picture"/>
            <a:graphic>
              <a:graphicData uri="http://schemas.openxmlformats.org/drawingml/2006/picture">
                <pic:pic>
                  <pic:nvPicPr>
                    <pic:cNvPr descr="images/006_section_results-and-discussion/009_section_ct-profiles/011_section_model-verification/35_time_profile_plot_Omeprazole_O91__Omeprazole_po_80_mg___oral_solution___SD.png" id="187" name="Picture"/>
                    <pic:cNvPicPr>
                      <a:picLocks noChangeArrowheads="1" noChangeAspect="1"/>
                    </pic:cNvPicPr>
                  </pic:nvPicPr>
                  <pic:blipFill>
                    <a:blip r:embed="rId185"/>
                    <a:stretch>
                      <a:fillRect/>
                    </a:stretch>
                  </pic:blipFill>
                  <pic:spPr bwMode="auto">
                    <a:xfrm>
                      <a:off x="0" y="0"/>
                      <a:ext cx="5969000" cy="4290517"/>
                    </a:xfrm>
                    <a:prstGeom prst="rect">
                      <a:avLst/>
                    </a:prstGeom>
                    <a:noFill/>
                    <a:ln w="9525">
                      <a:noFill/>
                      <a:headEnd/>
                      <a:tailEnd/>
                    </a:ln>
                  </pic:spPr>
                </pic:pic>
              </a:graphicData>
            </a:graphic>
          </wp:inline>
        </w:drawing>
      </w:r>
    </w:p>
    <w:p>
      <w:pPr>
        <w:pStyle w:val="BodyText"/>
      </w:pPr>
      <w:r>
        <w:rPr>
          <w:bCs/>
          <w:b/>
        </w:rPr>
        <w:t xml:space="preserve">Figure 3-41: 80 mg omeprazole oral solution</w:t>
      </w:r>
    </w:p>
    <w:p>
      <w:pPr>
        <w:pStyle w:val="BodyText"/>
      </w:pPr>
      <w:r>
        <w:t xml:space="preserve"> </w:t>
      </w:r>
    </w:p>
    <w:br w:type="page"/>
    <w:p>
      <w:pPr>
        <w:pStyle w:val="BodyText"/>
      </w:pPr>
      <w:bookmarkStart w:id="figure-3-42" w:name="figure-3-42"/>
      <w:bookmarkEnd w:id="figure-3-42"/>
    </w:p>
    <w:p>
      <w:pPr>
        <w:pStyle w:val="BodyText"/>
      </w:pPr>
      <w:r>
        <w:drawing>
          <wp:inline>
            <wp:extent cx="5969000" cy="4376470"/>
            <wp:effectExtent b="0" l="0" r="0" t="0"/>
            <wp:docPr descr="" title="" id="189" name="Picture"/>
            <a:graphic>
              <a:graphicData uri="http://schemas.openxmlformats.org/drawingml/2006/picture">
                <pic:pic>
                  <pic:nvPicPr>
                    <pic:cNvPr descr="images/006_section_results-and-discussion/009_section_ct-profiles/011_section_model-verification/36_time_profile_plot_Omeprazole_O_9__Omeprazole_DDI_without_fluvoxamine.png" id="190" name="Picture"/>
                    <pic:cNvPicPr>
                      <a:picLocks noChangeArrowheads="1" noChangeAspect="1"/>
                    </pic:cNvPicPr>
                  </pic:nvPicPr>
                  <pic:blipFill>
                    <a:blip r:embed="rId188"/>
                    <a:stretch>
                      <a:fillRect/>
                    </a:stretch>
                  </pic:blipFill>
                  <pic:spPr bwMode="auto">
                    <a:xfrm>
                      <a:off x="0" y="0"/>
                      <a:ext cx="5969000" cy="4376470"/>
                    </a:xfrm>
                    <a:prstGeom prst="rect">
                      <a:avLst/>
                    </a:prstGeom>
                    <a:noFill/>
                    <a:ln w="9525">
                      <a:noFill/>
                      <a:headEnd/>
                      <a:tailEnd/>
                    </a:ln>
                  </pic:spPr>
                </pic:pic>
              </a:graphicData>
            </a:graphic>
          </wp:inline>
        </w:drawing>
      </w:r>
    </w:p>
    <w:p>
      <w:pPr>
        <w:pStyle w:val="BodyText"/>
      </w:pPr>
      <w:r>
        <w:rPr>
          <w:bCs/>
          <w:b/>
        </w:rPr>
        <w:t xml:space="preserve">Figure 3-42: 40 mg omeprazole oral capsule</w:t>
      </w:r>
    </w:p>
    <w:p>
      <w:pPr>
        <w:pStyle w:val="BodyText"/>
      </w:pPr>
      <w:r>
        <w:t xml:space="preserve"> </w:t>
      </w:r>
    </w:p>
    <w:bookmarkEnd w:id="191"/>
    <w:bookmarkEnd w:id="192"/>
    <w:bookmarkEnd w:id="193"/>
    <w:bookmarkStart w:id="194" w:name="conclusion"/>
    <w:p>
      <w:pPr>
        <w:pStyle w:val="Heading1"/>
      </w:pPr>
      <w:r>
        <w:t xml:space="preserve">Conclusion</w:t>
      </w:r>
      <w:bookmarkStart w:id="conclusion" w:name="conclusion"/>
      <w:bookmarkEnd w:id="conclusion"/>
    </w:p>
    <w:p>
      <w:pPr>
        <w:pStyle w:val="FirstParagraph"/>
      </w:pPr>
      <w:r>
        <w:t xml:space="preserve">The developed PBPK model of omeprazole describes the PK data of S-, R-, and racemat omeprazole in CYP2C19 extensive and poor metabolizers after administrations of single as well as multiple p.o. doses very well.</w:t>
      </w:r>
    </w:p>
    <w:p>
      <w:pPr>
        <w:pStyle w:val="BodyText"/>
      </w:pPr>
      <w:r>
        <w:t xml:space="preserve">The assumption for the same distribution model and lipophilicity for R-/S-omeprazole is reasonable, as no i.v. data were available for R-omeprazole.</w:t>
      </w:r>
    </w:p>
    <w:p>
      <w:pPr>
        <w:pStyle w:val="BodyText"/>
      </w:pPr>
      <w:r>
        <w:t xml:space="preserve">CYP2C19 expression in gut was reduced according to</w:t>
      </w:r>
      <w:r>
        <w:t xml:space="preserve"> </w:t>
      </w:r>
      <w:hyperlink w:anchor="Xa559bd5247f9128e74e6edcc17de37648e8cde6">
        <w:r>
          <w:rPr>
            <w:rStyle w:val="Hyperlink"/>
          </w:rPr>
          <w:t xml:space="preserve">Olivares-Morales 2016</w:t>
        </w:r>
      </w:hyperlink>
      <w:r>
        <w:t xml:space="preserve"> </w:t>
      </w:r>
      <w:r>
        <w:t xml:space="preserve">to better describe R-omeprazole. As CYP2C19 CL and expression are obviously inter-dependent, caution should be used when extrapolating such findings to other CYP2C19 substrates. The impact of the reduced expression of CYP2C19 in gut was therefore investigated for its impact on omeprazole levels.</w:t>
      </w:r>
    </w:p>
    <w:p>
      <w:pPr>
        <w:pStyle w:val="BodyText"/>
      </w:pPr>
      <w:r>
        <w:t xml:space="preserve">Comparison of population simulation results with observed data show that the observations were generally within the simulated ranges, both after i.v. and p.o. dosing and for either CYP2C19 EM and PM.</w:t>
      </w:r>
    </w:p>
    <w:bookmarkEnd w:id="194"/>
    <w:bookmarkStart w:id="195" w:name="references"/>
    <w:p>
      <w:pPr>
        <w:pStyle w:val="Heading1"/>
      </w:pPr>
      <w:r>
        <w:t xml:space="preserve">References</w:t>
      </w:r>
      <w:bookmarkStart w:id="references" w:name="references"/>
      <w:bookmarkEnd w:id="references"/>
    </w:p>
    <w:p>
      <w:pPr>
        <w:pStyle w:val="FirstParagraph"/>
      </w:pPr>
      <w:r>
        <w:rPr>
          <w:bCs/>
          <w:b/>
        </w:rPr>
        <w:t xml:space="preserve">Andersson 1990</w:t>
      </w:r>
      <w:r>
        <w:t xml:space="preserve"> </w:t>
      </w:r>
      <w:r>
        <w:t xml:space="preserve">Andersson T, Regårdh CG. Pharmacokinetics of Omeprazole and Metabolites Following Single Intravenous and Oral Doses of 40 and 80mg.</w:t>
      </w:r>
      <w:r>
        <w:t xml:space="preserve"> </w:t>
      </w:r>
      <w:r>
        <w:rPr>
          <w:iCs/>
          <w:i/>
        </w:rPr>
        <w:t xml:space="preserve">Drug Investig</w:t>
      </w:r>
      <w:r>
        <w:t xml:space="preserve">. 1990;2(4):255-263.</w:t>
      </w:r>
    </w:p>
    <w:p>
      <w:pPr>
        <w:pStyle w:val="BodyText"/>
      </w:pPr>
      <w:r>
        <w:rPr>
          <w:bCs/>
          <w:b/>
        </w:rPr>
        <w:t xml:space="preserve">Andersson 1991</w:t>
      </w:r>
      <w:r>
        <w:t xml:space="preserve"> </w:t>
      </w:r>
      <w:r>
        <w:t xml:space="preserve">Andersson T, Cederberg C, Heggelund A, Lundborg P. The Pharmacokinetics of Single and Repeated Once-Daily Doses of 10, 20 and 40mg Omeprazole as Enteric-Coated Granules.</w:t>
      </w:r>
      <w:r>
        <w:t xml:space="preserve"> </w:t>
      </w:r>
      <w:r>
        <w:rPr>
          <w:iCs/>
          <w:i/>
        </w:rPr>
        <w:t xml:space="preserve">Drug Investig</w:t>
      </w:r>
      <w:r>
        <w:t xml:space="preserve">. 1991;3(1):45-52.</w:t>
      </w:r>
    </w:p>
    <w:p>
      <w:pPr>
        <w:pStyle w:val="BodyText"/>
      </w:pPr>
      <w:r>
        <w:rPr>
          <w:bCs/>
          <w:b/>
        </w:rPr>
        <w:t xml:space="preserve">Andersson 1998</w:t>
      </w:r>
      <w:r>
        <w:t xml:space="preserve"> </w:t>
      </w:r>
      <w:r>
        <w:t xml:space="preserve">Andersson T, Holmberg J, Röhss K, Walan A. Pharmacokinetics and effect on caffeine metabolism of the proton pump inhibitors, omeprazole, lansoprazole, and pantoprazole.</w:t>
      </w:r>
      <w:r>
        <w:t xml:space="preserve"> </w:t>
      </w:r>
      <w:r>
        <w:rPr>
          <w:iCs/>
          <w:i/>
        </w:rPr>
        <w:t xml:space="preserve">Br J Clin Pharmacol</w:t>
      </w:r>
      <w:r>
        <w:t xml:space="preserve">. 1998;45(4):369-375.</w:t>
      </w:r>
    </w:p>
    <w:p>
      <w:pPr>
        <w:pStyle w:val="BodyText"/>
      </w:pPr>
      <w:r>
        <w:rPr>
          <w:bCs/>
          <w:b/>
        </w:rPr>
        <w:t xml:space="preserve">Andersson 2000</w:t>
      </w:r>
      <w:r>
        <w:t xml:space="preserve"> </w:t>
      </w:r>
      <w:r>
        <w:t xml:space="preserve">Andersson T, Rohss K, Hassan-Alin M, et al. Pharmacokinetics (PK) and effect on pentagastrin stimulated peak acid output (PAO) of omeprazole (O) and its 2 optical isomers, S-omeprazole/esomeprazole (E) and R-omeprazole (R-O).</w:t>
      </w:r>
      <w:r>
        <w:t xml:space="preserve"> </w:t>
      </w:r>
      <w:r>
        <w:rPr>
          <w:iCs/>
          <w:i/>
        </w:rPr>
        <w:t xml:space="preserve">Gastroenterology</w:t>
      </w:r>
      <w:r>
        <w:t xml:space="preserve">. 118(4):A1210</w:t>
      </w:r>
    </w:p>
    <w:p>
      <w:pPr>
        <w:pStyle w:val="BodyText"/>
      </w:pPr>
      <w:r>
        <w:rPr>
          <w:bCs/>
          <w:b/>
        </w:rPr>
        <w:t xml:space="preserve">Äbelö 2000</w:t>
      </w:r>
      <w:r>
        <w:t xml:space="preserve"> </w:t>
      </w:r>
      <w:r>
        <w:t xml:space="preserve">Äbelö A, Andersson TB, Antonsson M, Naudot AK, Skanberg I, Weidolf L. Stereoselective metabolism of omeprazole by human cytochrome P450 enzymes.</w:t>
      </w:r>
      <w:r>
        <w:t xml:space="preserve"> </w:t>
      </w:r>
      <w:r>
        <w:rPr>
          <w:iCs/>
          <w:i/>
        </w:rPr>
        <w:t xml:space="preserve">Drug Metab Dispos</w:t>
      </w:r>
      <w:r>
        <w:t xml:space="preserve">. 2000;28(8):966-972.</w:t>
      </w:r>
    </w:p>
    <w:p>
      <w:pPr>
        <w:pStyle w:val="BodyText"/>
      </w:pPr>
      <w:r>
        <w:rPr>
          <w:bCs/>
          <w:b/>
        </w:rPr>
        <w:t xml:space="preserve">NCT01983566</w:t>
      </w:r>
      <w:r>
        <w:t xml:space="preserve"> </w:t>
      </w:r>
      <w:r>
        <w:t xml:space="preserve">Investigation of the effect of food and of increased gastric pH on the relative bioavailability of deleobuvir following single oral administration in healthy Caucasian and Japanese subjects (an open label, randomised, four-way crossover study)</w:t>
      </w:r>
    </w:p>
    <w:p>
      <w:pPr>
        <w:pStyle w:val="BodyText"/>
      </w:pPr>
      <w:r>
        <w:rPr>
          <w:bCs/>
          <w:b/>
        </w:rPr>
        <w:t xml:space="preserve">Cho 2002</w:t>
      </w:r>
      <w:r>
        <w:t xml:space="preserve"> </w:t>
      </w:r>
      <w:r>
        <w:t xml:space="preserve">Cho JY, Yu KS, Jang IJ, Yang BH, Shin SG, Yim DS. Omeprazole hydroxylation is inhibited by a single dose of moclobemide in homozygotic em genotype for CYP2C19.</w:t>
      </w:r>
      <w:r>
        <w:t xml:space="preserve"> </w:t>
      </w:r>
      <w:r>
        <w:rPr>
          <w:iCs/>
          <w:i/>
        </w:rPr>
        <w:t xml:space="preserve">Br J Clin Pharmacol</w:t>
      </w:r>
      <w:r>
        <w:t xml:space="preserve">. 2002;53(4):393-397.</w:t>
      </w:r>
    </w:p>
    <w:p>
      <w:pPr>
        <w:pStyle w:val="BodyText"/>
      </w:pPr>
      <w:r>
        <w:rPr>
          <w:bCs/>
          <w:b/>
        </w:rPr>
        <w:t xml:space="preserve">DrugBank DB00176</w:t>
      </w:r>
      <w:r>
        <w:t xml:space="preserve"> </w:t>
      </w:r>
      <w:r>
        <w:t xml:space="preserve">(https://www.drugbank.ca/drugs/DB00176)</w:t>
      </w:r>
    </w:p>
    <w:p>
      <w:pPr>
        <w:pStyle w:val="BodyText"/>
      </w:pPr>
      <w:r>
        <w:rPr>
          <w:bCs/>
          <w:b/>
        </w:rPr>
        <w:t xml:space="preserve">FDA Nexium Review</w:t>
      </w:r>
      <w:r>
        <w:t xml:space="preserve"> </w:t>
      </w:r>
      <w:r>
        <w:t xml:space="preserve">FDA – Clinical Pharmacology and Biopharmaceutics Review – Nexium delayed-Release Capsules – Esomeprazole sodium – Application number 21-153/21-154</w:t>
      </w:r>
    </w:p>
    <w:p>
      <w:pPr>
        <w:pStyle w:val="BodyText"/>
      </w:pPr>
      <w:r>
        <w:rPr>
          <w:bCs/>
          <w:b/>
        </w:rPr>
        <w:t xml:space="preserve">FDA SPC</w:t>
      </w:r>
      <w:r>
        <w:t xml:space="preserve"> </w:t>
      </w:r>
      <w:r>
        <w:t xml:space="preserve">FDA_ClinPharmReview LuvoxCR, NDA 22-033, FDADrug_42.pdf, website: https://www.accessdata.fda.gov/drugsatfda_docs/nda/2008/022033s000_ClinPharmR.pdf</w:t>
      </w:r>
    </w:p>
    <w:p>
      <w:pPr>
        <w:pStyle w:val="BodyText"/>
      </w:pPr>
      <w:r>
        <w:rPr>
          <w:bCs/>
          <w:b/>
        </w:rPr>
        <w:t xml:space="preserve">Galetin and Houston 2006</w:t>
      </w:r>
      <w:r>
        <w:t xml:space="preserve"> </w:t>
      </w:r>
      <w:r>
        <w:t xml:space="preserve">Galetin A, Houston JB. Intestinal and hepatic metabolic activity of five cytochrome P450 enzymes: impact on prediction of first-pass metabolism.</w:t>
      </w:r>
      <w:r>
        <w:t xml:space="preserve"> </w:t>
      </w:r>
      <w:r>
        <w:rPr>
          <w:iCs/>
          <w:i/>
        </w:rPr>
        <w:t xml:space="preserve">J Pharmacol Exp Ther</w:t>
      </w:r>
      <w:r>
        <w:t xml:space="preserve">. 2006;318(3):1220-1229.</w:t>
      </w:r>
    </w:p>
    <w:p>
      <w:pPr>
        <w:pStyle w:val="BodyText"/>
      </w:pPr>
      <w:r>
        <w:rPr>
          <w:bCs/>
          <w:b/>
        </w:rPr>
        <w:t xml:space="preserve">Hassan-Alin 2000</w:t>
      </w:r>
      <w:r>
        <w:t xml:space="preserve"> </w:t>
      </w:r>
      <w:r>
        <w:t xml:space="preserve">Hassan-Alin M, Andersson T, Bredberg E, Rohss K. Pharmacokinetics of esomeprazole after oral and intravenous administration of single and repeated doses to healthy subjects.</w:t>
      </w:r>
      <w:r>
        <w:t xml:space="preserve"> </w:t>
      </w:r>
      <w:r>
        <w:rPr>
          <w:iCs/>
          <w:i/>
        </w:rPr>
        <w:t xml:space="preserve">Eur J Clin Pharmacol</w:t>
      </w:r>
      <w:r>
        <w:t xml:space="preserve">. 2000;56(9-10):665-670.</w:t>
      </w:r>
    </w:p>
    <w:p>
      <w:pPr>
        <w:pStyle w:val="BodyText"/>
      </w:pPr>
      <w:r>
        <w:rPr>
          <w:bCs/>
          <w:b/>
        </w:rPr>
        <w:t xml:space="preserve">Hassan-Alin 2005</w:t>
      </w:r>
      <w:r>
        <w:t xml:space="preserve"> </w:t>
      </w:r>
      <w:r>
        <w:t xml:space="preserve">Hassan-Alin M, Andersson T, Niazi M, Röhss K. A pharmacokinetic study comparing single and repeated oral doses of 20 mg and 40 mg omeprazole and its two optical isomers, S-omeprazole (esomeprazole) and R-omeprazole, in healthy subjects.</w:t>
      </w:r>
      <w:r>
        <w:t xml:space="preserve"> </w:t>
      </w:r>
      <w:r>
        <w:rPr>
          <w:iCs/>
          <w:i/>
        </w:rPr>
        <w:t xml:space="preserve">Eur J Clin Pharmacol</w:t>
      </w:r>
      <w:r>
        <w:t xml:space="preserve">. 2005;60(11):779-784</w:t>
      </w:r>
    </w:p>
    <w:p>
      <w:pPr>
        <w:pStyle w:val="BodyText"/>
      </w:pPr>
      <w:r>
        <w:rPr>
          <w:bCs/>
          <w:b/>
        </w:rPr>
        <w:t xml:space="preserve">Nexium prescribing information</w:t>
      </w:r>
      <w:r>
        <w:t xml:space="preserve"> </w:t>
      </w:r>
      <w:r>
        <w:t xml:space="preserve">Website: https://www.accessdata.fda.gov/drugsatfda_docs/label/2014/022101s014021957s017021153s050lbl.pdf</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Liu 2005</w:t>
      </w:r>
      <w:r>
        <w:t xml:space="preserve"> </w:t>
      </w:r>
      <w:r>
        <w:t xml:space="preserve">Liu KH, Kim MJ, Shon JH, et al. Stereoselective inhibition of cytochrome P450 forms by lansoprazole and omeprazole in vitro.</w:t>
      </w:r>
      <w:r>
        <w:t xml:space="preserve"> </w:t>
      </w:r>
      <w:r>
        <w:rPr>
          <w:iCs/>
          <w:i/>
        </w:rPr>
        <w:t xml:space="preserve">Xenobiotica</w:t>
      </w:r>
      <w:r>
        <w:t xml:space="preserve">. 2005;35(1):27-38</w:t>
      </w:r>
    </w:p>
    <w:p>
      <w:pPr>
        <w:pStyle w:val="BodyText"/>
      </w:pPr>
      <w:r>
        <w:rPr>
          <w:bCs/>
          <w:b/>
        </w:rPr>
        <w:t xml:space="preserve">Ogilvie 2011</w:t>
      </w:r>
      <w:r>
        <w:t xml:space="preserve"> </w:t>
      </w:r>
      <w:r>
        <w:t xml:space="preserve">Ogilvie BW, Yerino P, Kazmi F, Buckley DB, Rostami-Hodjegan A, Paris BL, et al. The proton pump inhibitor, omeprazole, but not lansoprazole or pantoprazole, is a metabolism-dependent inhibitor of CYP2C19: implications for coadministration with clopidogrel.</w:t>
      </w:r>
      <w:r>
        <w:t xml:space="preserve"> </w:t>
      </w:r>
      <w:r>
        <w:rPr>
          <w:iCs/>
          <w:i/>
        </w:rPr>
        <w:t xml:space="preserve">Drug Metab Dispos.</w:t>
      </w:r>
      <w:r>
        <w:t xml:space="preserve"> </w:t>
      </w:r>
      <w:r>
        <w:t xml:space="preserve">2011;39(11):2020–33.</w:t>
      </w:r>
    </w:p>
    <w:p>
      <w:pPr>
        <w:pStyle w:val="BodyText"/>
      </w:pPr>
      <w:r>
        <w:rPr>
          <w:bCs/>
          <w:b/>
        </w:rPr>
        <w:t xml:space="preserve">Olivares-Morales 2016</w:t>
      </w:r>
      <w:r>
        <w:t xml:space="preserve"> </w:t>
      </w:r>
      <w:r>
        <w:t xml:space="preserve">Olivares-Morales A, Ghosh A, Aarons L, Rostami-Hodjegan A. Development of a Novel Simplified PBPK Absorption Model to Explain the Higher Relative Bioavailability of the OROS(R) Formulation of Oxybutynin.</w:t>
      </w:r>
      <w:r>
        <w:t xml:space="preserve"> </w:t>
      </w:r>
      <w:r>
        <w:rPr>
          <w:iCs/>
          <w:i/>
        </w:rPr>
        <w:t xml:space="preserve">AAPS J</w:t>
      </w:r>
      <w:r>
        <w:t xml:space="preserve">. 2016;18(6):1532-1549.</w:t>
      </w:r>
    </w:p>
    <w:p>
      <w:pPr>
        <w:pStyle w:val="BodyText"/>
      </w:pPr>
      <w:r>
        <w:rPr>
          <w:bCs/>
          <w:b/>
        </w:rPr>
        <w:t xml:space="preserve">Oosterhuis 1992</w:t>
      </w:r>
      <w:r>
        <w:t xml:space="preserve"> </w:t>
      </w:r>
      <w:r>
        <w:t xml:space="preserve">Oosterhuis B, Jonkman JHG, Andersson T, Zuiderwijk PBM. No influence of single intravenous doses of omeprazole on theophylline elimination kinetics.</w:t>
      </w:r>
      <w:r>
        <w:t xml:space="preserve"> </w:t>
      </w:r>
      <w:r>
        <w:rPr>
          <w:iCs/>
          <w:i/>
        </w:rPr>
        <w:t xml:space="preserve">J Clin Pharmacol</w:t>
      </w:r>
      <w:r>
        <w:t xml:space="preserve">. 1992;32(5):470-475.</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Regårdh 1990</w:t>
      </w:r>
      <w:r>
        <w:t xml:space="preserve"> </w:t>
      </w:r>
      <w:r>
        <w:t xml:space="preserve">Regårdh CG, Andersson T, Lagerstrom PO, Lundborg P, Skanberg I. The pharmacokinetics of omeprazole in humans–a study of single intravenous and oral doses.</w:t>
      </w:r>
      <w:r>
        <w:t xml:space="preserve"> </w:t>
      </w:r>
      <w:r>
        <w:rPr>
          <w:iCs/>
          <w:i/>
        </w:rPr>
        <w:t xml:space="preserve">Ther Drug Monit</w:t>
      </w:r>
      <w:r>
        <w:t xml:space="preserve">. 1990;12(2):163-172.</w:t>
      </w:r>
    </w:p>
    <w:p>
      <w:pPr>
        <w:pStyle w:val="BodyText"/>
      </w:pPr>
      <w:r>
        <w:rPr>
          <w:bCs/>
          <w:b/>
        </w:rPr>
        <w:t xml:space="preserve">Röhss 2007</w:t>
      </w:r>
      <w:r>
        <w:t xml:space="preserve"> </w:t>
      </w:r>
      <w:r>
        <w:t xml:space="preserve">Röhss, K., Wilder-Smith, C., Kilhamn, J., Fjellman, M. &amp; Lind, T. Suppression of gastric acid with intravenous esomeprazole and omeprazole: results of 3 studies in healthy subjects.</w:t>
      </w:r>
      <w:r>
        <w:t xml:space="preserve"> </w:t>
      </w:r>
      <w:r>
        <w:rPr>
          <w:iCs/>
          <w:i/>
        </w:rPr>
        <w:t xml:space="preserve">CP</w:t>
      </w:r>
      <w:r>
        <w:t xml:space="preserve"> </w:t>
      </w:r>
      <w:r>
        <w:rPr>
          <w:bCs/>
          <w:b/>
        </w:rPr>
        <w:t xml:space="preserve">45</w:t>
      </w:r>
      <w:r>
        <w:t xml:space="preserve">, 345–354 (2007).</w:t>
      </w:r>
    </w:p>
    <w:p>
      <w:pPr>
        <w:pStyle w:val="BodyText"/>
      </w:pPr>
      <w:r>
        <w:rPr>
          <w:bCs/>
          <w:b/>
        </w:rPr>
        <w:t xml:space="preserve">Uno 2007</w:t>
      </w:r>
      <w:r>
        <w:t xml:space="preserve"> </w:t>
      </w:r>
      <w:r>
        <w:t xml:space="preserve">Uno T, Niioka T, Hayakari M, Yasui-Furukori N, Sugawara K, Tateishi T. Absolute bioavailability and metabolism of omeprazole in relation to CYP2C19 genotypes following single intravenous and oral administrations.</w:t>
      </w:r>
      <w:r>
        <w:t xml:space="preserve"> </w:t>
      </w:r>
      <w:r>
        <w:rPr>
          <w:iCs/>
          <w:i/>
        </w:rPr>
        <w:t xml:space="preserve">Eur J Clin Pharmacol</w:t>
      </w:r>
      <w:r>
        <w:t xml:space="preserve">. 2007;63(2):143-149.</w:t>
      </w:r>
    </w:p>
    <w:p>
      <w:pPr>
        <w:pStyle w:val="BodyText"/>
      </w:pPr>
      <w:r>
        <w:rPr>
          <w:bCs/>
          <w:b/>
        </w:rPr>
        <w:t xml:space="preserve">Wilder-Smith 2005</w:t>
      </w:r>
      <w:r>
        <w:t xml:space="preserve"> </w:t>
      </w:r>
      <w:r>
        <w:t xml:space="preserve">Wilder-Smith CH, Bondarov P, Lundgren M, et al. Intravenous esomeprazole (40 mg and 20 mg) inhibits gastric acid secretion as effectively as oral esomeprazole: Results of two randomized clinical studies.</w:t>
      </w:r>
      <w:r>
        <w:t xml:space="preserve"> </w:t>
      </w:r>
      <w:r>
        <w:rPr>
          <w:iCs/>
          <w:i/>
        </w:rPr>
        <w:t xml:space="preserve">Eur J Gastroenterol Hepatol</w:t>
      </w:r>
      <w:r>
        <w:t xml:space="preserve">. 2005;17(2):191-197</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w:t>
      </w:r>
      <w:r>
        <w:t xml:space="preserve"> </w:t>
      </w:r>
      <w:r>
        <w:rPr>
          <w:iCs/>
          <w:i/>
        </w:rPr>
        <w:t xml:space="preserve">J Pharmacokinet Pharmacodyn</w:t>
      </w:r>
      <w:r>
        <w:t xml:space="preserve"> </w:t>
      </w:r>
      <w:r>
        <w:t xml:space="preserve">2007, 34(3): 401-431.</w:t>
      </w:r>
    </w:p>
    <w:p>
      <w:pPr>
        <w:pStyle w:val="BodyText"/>
      </w:pPr>
      <w:r>
        <w:rPr>
          <w:bCs/>
          <w:b/>
        </w:rPr>
        <w:t xml:space="preserve">Wu 2014</w:t>
      </w:r>
      <w:r>
        <w:t xml:space="preserve"> </w:t>
      </w:r>
      <w:r>
        <w:t xml:space="preserve">Wu F, Gaohua L, Zhao P, Jamei M, Huang S-M, Bashaw ED, et al. Predicting Nonlinear Pharmacokinetics of Omeprazole Enantiomers and Racemic Drug Using Physiologically Based Pharmacokinetic Modeling and Simulation: Application to Predict Drug/Genetic Interactions.</w:t>
      </w:r>
      <w:r>
        <w:t xml:space="preserve"> </w:t>
      </w:r>
      <w:r>
        <w:rPr>
          <w:iCs/>
          <w:i/>
        </w:rPr>
        <w:t xml:space="preserve">Pharmaceutical Research</w:t>
      </w:r>
      <w:r>
        <w:t xml:space="preserve">. 2014 Aug;31(8):1919–29.</w:t>
      </w:r>
    </w:p>
    <w:p>
      <w:pPr>
        <w:pStyle w:val="BodyText"/>
      </w:pPr>
      <w:r>
        <w:rPr>
          <w:bCs/>
          <w:b/>
        </w:rPr>
        <w:t xml:space="preserve">Wu 2016</w:t>
      </w:r>
      <w:r>
        <w:t xml:space="preserve"> </w:t>
      </w:r>
      <w:r>
        <w:t xml:space="preserve">Wu, J., Gießmann, T., Lang, B., Elgadi, M. &amp; Huang, F. Investigation of the effect of food and omeprazole on the relative bioavailability of a single oral dose of 240 mg faldaprevir, a selective inhibitor of HCV NS3/4 protease, in an open-label, randomized, three-way cross-over trial in healthy participants.</w:t>
      </w:r>
      <w:r>
        <w:t xml:space="preserve"> </w:t>
      </w:r>
      <w:r>
        <w:rPr>
          <w:iCs/>
          <w:i/>
        </w:rPr>
        <w:t xml:space="preserve">J Pharm Pharmacol</w:t>
      </w:r>
      <w:r>
        <w:t xml:space="preserve"> </w:t>
      </w:r>
      <w:r>
        <w:rPr>
          <w:bCs/>
          <w:b/>
        </w:rPr>
        <w:t xml:space="preserve">68</w:t>
      </w:r>
      <w:r>
        <w:t xml:space="preserve">, 459–466 (2016).</w:t>
      </w:r>
    </w:p>
    <w:p>
      <w:pPr>
        <w:pStyle w:val="BodyText"/>
      </w:pPr>
      <w:r>
        <w:rPr>
          <w:bCs/>
          <w:b/>
        </w:rPr>
        <w:t xml:space="preserve">Yasui-Furukori 2004</w:t>
      </w:r>
      <w:r>
        <w:t xml:space="preserve"> </w:t>
      </w:r>
      <w:r>
        <w:t xml:space="preserve">Yasui-Furukori N, Takahata T, Nakagami T, et al. Different inhibitory effect of fluvoxamine on omeprazole metabolism between CYP2C19 genotypes.</w:t>
      </w:r>
      <w:r>
        <w:t xml:space="preserve"> </w:t>
      </w:r>
      <w:r>
        <w:rPr>
          <w:iCs/>
          <w:i/>
        </w:rPr>
        <w:t xml:space="preserve">Br J Clin Pharmacol</w:t>
      </w:r>
      <w:r>
        <w:t xml:space="preserve">. 2004;57(4):487-494.</w:t>
      </w:r>
    </w:p>
    <w:bookmarkEnd w:id="195"/>
    <w:bookmarkStart w:id="196" w:name="glossary"/>
    <w:p>
      <w:pPr>
        <w:pStyle w:val="Heading1"/>
      </w:pPr>
      <w:r>
        <w:t xml:space="preserve">Glossary</w:t>
      </w:r>
      <w:bookmarkStart w:id="glossary" w:name="glossary"/>
      <w:bookmarkEnd w:id="glossary"/>
    </w:p>
    <w:tbl>
      <w:tblPr>
        <w:tblStyle w:val="Table"/>
        <w:tblW w:type="pct" w:w="5000"/>
        <w:tblLook w:firstRow="1" w:lastRow="0" w:firstColumn="0" w:lastColumn="0" w:noHBand="0" w:noVBand="0" w:val="0020"/>
        <w:jc w:val="start"/>
      </w:tblPr>
      <w:tblGrid>
        <w:gridCol w:w="827"/>
        <w:gridCol w:w="7092"/>
      </w:tblGrid>
      <w:tr>
        <w:trPr>
          <w:tblHeader w:val="true"/>
        </w:trPr>
        <w:tc>
          <w:tcPr/>
          <w:p>
            <w:pPr>
              <w:pStyle w:val="Compact"/>
              <w:jc w:val="left"/>
            </w:pPr>
            <w:r>
              <w:t xml:space="preserve">ADME</w:t>
            </w:r>
          </w:p>
        </w:tc>
        <w:tc>
          <w:tcPr/>
          <w:p>
            <w:pPr>
              <w:pStyle w:val="Compact"/>
              <w:jc w:val="left"/>
            </w:pPr>
            <w:r>
              <w:t xml:space="preserve">Absorption, Distribution, Metabolism, Excretion</w:t>
            </w:r>
          </w:p>
        </w:tc>
      </w:tr>
      <w:tr>
        <w:tc>
          <w:tcPr/>
          <w:p>
            <w:pPr>
              <w:pStyle w:val="Compact"/>
              <w:jc w:val="left"/>
            </w:pPr>
            <w:r>
              <w:t xml:space="preserve">AUC</w:t>
            </w:r>
          </w:p>
        </w:tc>
        <w:tc>
          <w:tcPr/>
          <w:p>
            <w:pPr>
              <w:pStyle w:val="Compact"/>
              <w:jc w:val="left"/>
            </w:pPr>
            <w:r>
              <w:t xml:space="preserve">Area under the plasma concentration versus time curve</w:t>
            </w:r>
          </w:p>
        </w:tc>
      </w:tr>
      <w:tr>
        <w:tc>
          <w:tcPr/>
          <w:p>
            <w:pPr>
              <w:pStyle w:val="Compact"/>
              <w:jc w:val="left"/>
            </w:pPr>
            <w:r>
              <w:t xml:space="preserve">AUCinf</w:t>
            </w:r>
          </w:p>
        </w:tc>
        <w:tc>
          <w:tcPr/>
          <w:p>
            <w:pPr>
              <w:pStyle w:val="Compact"/>
              <w:jc w:val="left"/>
            </w:pPr>
            <w:r>
              <w:t xml:space="preserve">AUC until infinity</w:t>
            </w:r>
          </w:p>
        </w:tc>
      </w:tr>
      <w:tr>
        <w:tc>
          <w:tcPr/>
          <w:p>
            <w:pPr>
              <w:pStyle w:val="Compact"/>
              <w:jc w:val="left"/>
            </w:pPr>
            <w:r>
              <w:t xml:space="preserve">AUClast</w:t>
            </w:r>
          </w:p>
        </w:tc>
        <w:tc>
          <w:tcPr/>
          <w:p>
            <w:pPr>
              <w:pStyle w:val="Compact"/>
              <w:jc w:val="left"/>
            </w:pPr>
            <w:r>
              <w:t xml:space="preserve">AUC until last measurable sample</w:t>
            </w:r>
          </w:p>
        </w:tc>
      </w:tr>
      <w:tr>
        <w:tc>
          <w:tcPr/>
          <w:p>
            <w:pPr>
              <w:pStyle w:val="Compact"/>
              <w:jc w:val="left"/>
            </w:pPr>
            <w:r>
              <w:t xml:space="preserve">AUCR</w:t>
            </w:r>
          </w:p>
        </w:tc>
        <w:tc>
          <w:tcPr/>
          <w:p>
            <w:pPr>
              <w:pStyle w:val="Compact"/>
              <w:jc w:val="left"/>
            </w:pPr>
            <w:r>
              <w:t xml:space="preserve">Area under the plasma concentration versus time curve Ratio</w:t>
            </w:r>
          </w:p>
        </w:tc>
      </w:tr>
      <w:tr>
        <w:tc>
          <w:tcPr/>
          <w:p>
            <w:pPr>
              <w:pStyle w:val="Compact"/>
              <w:jc w:val="left"/>
            </w:pPr>
            <w:r>
              <w:t xml:space="preserve">b.i.d.</w:t>
            </w:r>
          </w:p>
        </w:tc>
        <w:tc>
          <w:tcPr/>
          <w:p>
            <w:pPr>
              <w:pStyle w:val="Compact"/>
              <w:jc w:val="left"/>
            </w:pPr>
            <w:r>
              <w:t xml:space="preserve">Twice daily (bis in diem)</w:t>
            </w:r>
          </w:p>
        </w:tc>
      </w:tr>
      <w:tr>
        <w:tc>
          <w:tcPr/>
          <w:p>
            <w:pPr>
              <w:pStyle w:val="Compact"/>
              <w:jc w:val="left"/>
            </w:pPr>
            <w:r>
              <w:t xml:space="preserve">CL</w:t>
            </w:r>
          </w:p>
        </w:tc>
        <w:tc>
          <w:tcPr/>
          <w:p>
            <w:pPr>
              <w:pStyle w:val="Compact"/>
              <w:jc w:val="left"/>
            </w:pPr>
            <w:r>
              <w:t xml:space="preserve">Clearance</w:t>
            </w:r>
          </w:p>
        </w:tc>
      </w:tr>
      <w:tr>
        <w:tc>
          <w:tcPr/>
          <w:p>
            <w:pPr>
              <w:pStyle w:val="Compact"/>
              <w:jc w:val="left"/>
            </w:pPr>
            <w:r>
              <w:t xml:space="preserve">Clint</w:t>
            </w:r>
          </w:p>
        </w:tc>
        <w:tc>
          <w:tcPr/>
          <w:p>
            <w:pPr>
              <w:pStyle w:val="Compact"/>
              <w:jc w:val="left"/>
            </w:pPr>
            <w:r>
              <w:t xml:space="preserve">Intrinsic liver clearance</w:t>
            </w:r>
          </w:p>
        </w:tc>
      </w:tr>
      <w:tr>
        <w:tc>
          <w:tcPr/>
          <w:p>
            <w:pPr>
              <w:pStyle w:val="Compact"/>
              <w:jc w:val="left"/>
            </w:pPr>
            <w:r>
              <w:t xml:space="preserve">Cmax</w:t>
            </w:r>
          </w:p>
        </w:tc>
        <w:tc>
          <w:tcPr/>
          <w:p>
            <w:pPr>
              <w:pStyle w:val="Compact"/>
              <w:jc w:val="left"/>
            </w:pPr>
            <w:r>
              <w:t xml:space="preserve">Maximum concentration</w:t>
            </w:r>
          </w:p>
        </w:tc>
      </w:tr>
      <w:tr>
        <w:tc>
          <w:tcPr/>
          <w:p>
            <w:pPr>
              <w:pStyle w:val="Compact"/>
              <w:jc w:val="left"/>
            </w:pPr>
            <w:r>
              <w:t xml:space="preserve">CmaxR</w:t>
            </w:r>
          </w:p>
        </w:tc>
        <w:tc>
          <w:tcPr/>
          <w:p>
            <w:pPr>
              <w:pStyle w:val="Compact"/>
              <w:jc w:val="left"/>
            </w:pPr>
            <w:r>
              <w:t xml:space="preserve">Maximum concentration Ratio</w:t>
            </w:r>
          </w:p>
        </w:tc>
      </w:tr>
      <w:tr>
        <w:tc>
          <w:tcPr/>
          <w:p>
            <w:pPr>
              <w:pStyle w:val="Compact"/>
              <w:jc w:val="left"/>
            </w:pPr>
            <w:r>
              <w:t xml:space="preserve">CYP</w:t>
            </w:r>
          </w:p>
        </w:tc>
        <w:tc>
          <w:tcPr/>
          <w:p>
            <w:pPr>
              <w:pStyle w:val="Compact"/>
              <w:jc w:val="left"/>
            </w:pPr>
            <w:r>
              <w:t xml:space="preserve">Cytochrome P450 oxidase</w:t>
            </w:r>
          </w:p>
        </w:tc>
      </w:tr>
      <w:tr>
        <w:tc>
          <w:tcPr/>
          <w:p>
            <w:pPr>
              <w:pStyle w:val="Compact"/>
              <w:jc w:val="left"/>
            </w:pPr>
            <w:r>
              <w:t xml:space="preserve">CYP1A2</w:t>
            </w:r>
          </w:p>
        </w:tc>
        <w:tc>
          <w:tcPr/>
          <w:p>
            <w:pPr>
              <w:pStyle w:val="Compact"/>
              <w:jc w:val="left"/>
            </w:pPr>
            <w:r>
              <w:t xml:space="preserve">Cytochrome P450 1A2 oxidase</w:t>
            </w:r>
          </w:p>
        </w:tc>
      </w:tr>
      <w:tr>
        <w:tc>
          <w:tcPr/>
          <w:p>
            <w:pPr>
              <w:pStyle w:val="Compact"/>
              <w:jc w:val="left"/>
            </w:pPr>
            <w:r>
              <w:t xml:space="preserve">CYP2C19</w:t>
            </w:r>
          </w:p>
        </w:tc>
        <w:tc>
          <w:tcPr/>
          <w:p>
            <w:pPr>
              <w:pStyle w:val="Compact"/>
              <w:jc w:val="left"/>
            </w:pPr>
            <w:r>
              <w:t xml:space="preserve">Cytochrome P450 2C19 oxidase</w:t>
            </w:r>
          </w:p>
        </w:tc>
      </w:tr>
      <w:tr>
        <w:tc>
          <w:tcPr/>
          <w:p>
            <w:pPr>
              <w:pStyle w:val="Compact"/>
              <w:jc w:val="left"/>
            </w:pPr>
            <w:r>
              <w:t xml:space="preserve">CYP3A4</w:t>
            </w:r>
          </w:p>
        </w:tc>
        <w:tc>
          <w:tcPr/>
          <w:p>
            <w:pPr>
              <w:pStyle w:val="Compact"/>
              <w:jc w:val="left"/>
            </w:pPr>
            <w:r>
              <w:t xml:space="preserve">Cytochrome P450 3A4 oxidase</w:t>
            </w:r>
          </w:p>
        </w:tc>
      </w:tr>
      <w:tr>
        <w:tc>
          <w:tcPr/>
          <w:p>
            <w:pPr>
              <w:pStyle w:val="Compact"/>
              <w:jc w:val="left"/>
            </w:pPr>
            <w:r>
              <w:t xml:space="preserve">DDI</w:t>
            </w:r>
          </w:p>
        </w:tc>
        <w:tc>
          <w:tcPr/>
          <w:p>
            <w:pPr>
              <w:pStyle w:val="Compact"/>
              <w:jc w:val="left"/>
            </w:pPr>
            <w:r>
              <w:t xml:space="preserve">Drug-drug interaction</w:t>
            </w:r>
          </w:p>
        </w:tc>
      </w:tr>
      <w:tr>
        <w:tc>
          <w:tcPr/>
          <w:p>
            <w:pPr>
              <w:pStyle w:val="Compact"/>
              <w:jc w:val="left"/>
            </w:pPr>
            <w:r>
              <w:t xml:space="preserve">e.c.</w:t>
            </w:r>
          </w:p>
        </w:tc>
        <w:tc>
          <w:tcPr/>
          <w:p>
            <w:pPr>
              <w:pStyle w:val="Compact"/>
              <w:jc w:val="left"/>
            </w:pPr>
            <w:r>
              <w:t xml:space="preserve">Enteric coated</w:t>
            </w:r>
          </w:p>
        </w:tc>
      </w:tr>
      <w:tr>
        <w:tc>
          <w:tcPr/>
          <w:p>
            <w:pPr>
              <w:pStyle w:val="Compact"/>
              <w:jc w:val="left"/>
            </w:pPr>
            <w:r>
              <w:t xml:space="preserve">EE</w:t>
            </w:r>
          </w:p>
        </w:tc>
        <w:tc>
          <w:tcPr/>
          <w:p>
            <w:pPr>
              <w:pStyle w:val="Compact"/>
              <w:jc w:val="left"/>
            </w:pPr>
            <w:r>
              <w:t xml:space="preserve">Ethinylestradiol</w:t>
            </w:r>
          </w:p>
        </w:tc>
      </w:tr>
      <w:tr>
        <w:tc>
          <w:tcPr/>
          <w:p>
            <w:pPr>
              <w:pStyle w:val="Compact"/>
              <w:jc w:val="left"/>
            </w:pPr>
            <w:r>
              <w:t xml:space="preserve">EM</w:t>
            </w:r>
          </w:p>
        </w:tc>
        <w:tc>
          <w:tcPr/>
          <w:p>
            <w:pPr>
              <w:pStyle w:val="Compact"/>
              <w:jc w:val="left"/>
            </w:pPr>
            <w:r>
              <w:t xml:space="preserve">Extensive metabolizers</w:t>
            </w:r>
          </w:p>
        </w:tc>
      </w:tr>
      <w:tr>
        <w:tc>
          <w:tcPr/>
          <w:p>
            <w:pPr>
              <w:pStyle w:val="Compact"/>
              <w:jc w:val="left"/>
            </w:pPr>
            <w:r>
              <w:t xml:space="preserve">fm</w:t>
            </w:r>
          </w:p>
        </w:tc>
        <w:tc>
          <w:tcPr/>
          <w:p>
            <w:pPr>
              <w:pStyle w:val="Compact"/>
              <w:jc w:val="left"/>
            </w:pPr>
            <w:r>
              <w:t xml:space="preserve">Fraction metabolized</w:t>
            </w:r>
          </w:p>
        </w:tc>
      </w:tr>
      <w:tr>
        <w:tc>
          <w:tcPr/>
          <w:p>
            <w:pPr>
              <w:pStyle w:val="Compact"/>
              <w:jc w:val="left"/>
            </w:pPr>
            <w:r>
              <w:t xml:space="preserve">FMO</w:t>
            </w:r>
          </w:p>
        </w:tc>
        <w:tc>
          <w:tcPr/>
          <w:p>
            <w:pPr>
              <w:pStyle w:val="Compact"/>
              <w:jc w:val="left"/>
            </w:pPr>
            <w:r>
              <w:t xml:space="preserve">Flavin-containing monooxygenase</w:t>
            </w:r>
          </w:p>
        </w:tc>
      </w:tr>
      <w:tr>
        <w:tc>
          <w:tcPr/>
          <w:p>
            <w:pPr>
              <w:pStyle w:val="Compact"/>
              <w:jc w:val="left"/>
            </w:pPr>
            <w:r>
              <w:t xml:space="preserve">fu</w:t>
            </w:r>
          </w:p>
        </w:tc>
        <w:tc>
          <w:tcPr/>
          <w:p>
            <w:pPr>
              <w:pStyle w:val="Compact"/>
              <w:jc w:val="left"/>
            </w:pPr>
            <w:r>
              <w:t xml:space="preserve">Fraction unbound</w:t>
            </w:r>
          </w:p>
        </w:tc>
      </w:tr>
      <w:tr>
        <w:tc>
          <w:tcPr/>
          <w:p>
            <w:pPr>
              <w:pStyle w:val="Compact"/>
              <w:jc w:val="left"/>
            </w:pPr>
            <w:r>
              <w:t xml:space="preserve">FDA</w:t>
            </w:r>
          </w:p>
        </w:tc>
        <w:tc>
          <w:tcPr/>
          <w:p>
            <w:pPr>
              <w:pStyle w:val="Compact"/>
              <w:jc w:val="left"/>
            </w:pPr>
            <w:r>
              <w:t xml:space="preserve">Food and Drug administration</w:t>
            </w:r>
          </w:p>
        </w:tc>
      </w:tr>
      <w:tr>
        <w:tc>
          <w:tcPr/>
          <w:p>
            <w:pPr>
              <w:pStyle w:val="Compact"/>
              <w:jc w:val="left"/>
            </w:pPr>
            <w:r>
              <w:t xml:space="preserve">GFR</w:t>
            </w:r>
          </w:p>
        </w:tc>
        <w:tc>
          <w:tcPr/>
          <w:p>
            <w:pPr>
              <w:pStyle w:val="Compact"/>
              <w:jc w:val="left"/>
            </w:pPr>
            <w:r>
              <w:t xml:space="preserve">Glomerular filtration rate</w:t>
            </w:r>
          </w:p>
        </w:tc>
      </w:tr>
      <w:tr>
        <w:tc>
          <w:tcPr/>
          <w:p>
            <w:pPr>
              <w:pStyle w:val="Compact"/>
              <w:jc w:val="left"/>
            </w:pPr>
            <w:r>
              <w:t xml:space="preserve">HLM</w:t>
            </w:r>
          </w:p>
        </w:tc>
        <w:tc>
          <w:tcPr/>
          <w:p>
            <w:pPr>
              <w:pStyle w:val="Compact"/>
              <w:jc w:val="left"/>
            </w:pPr>
            <w:r>
              <w:t xml:space="preserve">Human liver microsomes</w:t>
            </w:r>
          </w:p>
        </w:tc>
      </w:tr>
      <w:tr>
        <w:tc>
          <w:tcPr/>
          <w:p>
            <w:pPr>
              <w:pStyle w:val="Compact"/>
              <w:jc w:val="left"/>
            </w:pPr>
            <w:r>
              <w:t xml:space="preserve">hm</w:t>
            </w:r>
          </w:p>
        </w:tc>
        <w:tc>
          <w:tcPr/>
          <w:p>
            <w:pPr>
              <w:pStyle w:val="Compact"/>
              <w:jc w:val="left"/>
            </w:pPr>
            <w:r>
              <w:t xml:space="preserve">homozygous</w:t>
            </w:r>
          </w:p>
        </w:tc>
      </w:tr>
      <w:tr>
        <w:tc>
          <w:tcPr/>
          <w:p>
            <w:pPr>
              <w:pStyle w:val="Compact"/>
              <w:jc w:val="left"/>
            </w:pPr>
            <w:r>
              <w:t xml:space="preserve">ht</w:t>
            </w:r>
          </w:p>
        </w:tc>
        <w:tc>
          <w:tcPr/>
          <w:p>
            <w:pPr>
              <w:pStyle w:val="Compact"/>
              <w:jc w:val="left"/>
            </w:pPr>
            <w:r>
              <w:t xml:space="preserve">heterozygous</w:t>
            </w:r>
          </w:p>
        </w:tc>
      </w:tr>
      <w:tr>
        <w:tc>
          <w:tcPr/>
          <w:p>
            <w:pPr>
              <w:pStyle w:val="Compact"/>
              <w:jc w:val="left"/>
            </w:pPr>
            <w:r>
              <w:t xml:space="preserve">IM</w:t>
            </w:r>
          </w:p>
        </w:tc>
        <w:tc>
          <w:tcPr/>
          <w:p>
            <w:pPr>
              <w:pStyle w:val="Compact"/>
              <w:jc w:val="left"/>
            </w:pPr>
            <w:r>
              <w:t xml:space="preserve">Intermediate metabolizers</w:t>
            </w:r>
          </w:p>
        </w:tc>
      </w:tr>
      <w:tr>
        <w:tc>
          <w:tcPr/>
          <w:p>
            <w:pPr>
              <w:pStyle w:val="Compact"/>
              <w:jc w:val="left"/>
            </w:pPr>
            <w:r>
              <w:t xml:space="preserve">i.v.</w:t>
            </w:r>
          </w:p>
        </w:tc>
        <w:tc>
          <w:tcPr/>
          <w:p>
            <w:pPr>
              <w:pStyle w:val="Compact"/>
              <w:jc w:val="left"/>
            </w:pPr>
            <w:r>
              <w:t xml:space="preserve">Intravenous</w:t>
            </w:r>
          </w:p>
        </w:tc>
      </w:tr>
      <w:tr>
        <w:tc>
          <w:tcPr/>
          <w:p>
            <w:pPr>
              <w:pStyle w:val="Compact"/>
              <w:jc w:val="left"/>
            </w:pPr>
            <w:r>
              <w:t xml:space="preserve">IVIVE</w:t>
            </w:r>
          </w:p>
        </w:tc>
        <w:tc>
          <w:tcPr/>
          <w:p>
            <w:pPr>
              <w:pStyle w:val="Compact"/>
              <w:jc w:val="left"/>
            </w:pPr>
            <w:r>
              <w:t xml:space="preserve">In Vitro to In Vivo Extrapolation</w:t>
            </w:r>
          </w:p>
        </w:tc>
      </w:tr>
      <w:tr>
        <w:tc>
          <w:tcPr/>
          <w:p>
            <w:pPr>
              <w:pStyle w:val="Compact"/>
              <w:jc w:val="left"/>
            </w:pPr>
            <w:r>
              <w:t xml:space="preserve">Ka</w:t>
            </w:r>
          </w:p>
        </w:tc>
        <w:tc>
          <w:tcPr/>
          <w:p>
            <w:pPr>
              <w:pStyle w:val="Compact"/>
              <w:jc w:val="left"/>
            </w:pPr>
            <w:r>
              <w:t xml:space="preserve">Absorption rate constant</w:t>
            </w:r>
          </w:p>
        </w:tc>
      </w:tr>
      <w:tr>
        <w:tc>
          <w:tcPr/>
          <w:p>
            <w:pPr>
              <w:pStyle w:val="Compact"/>
              <w:jc w:val="left"/>
            </w:pPr>
            <w:r>
              <w:t xml:space="preserve">kcat</w:t>
            </w:r>
          </w:p>
        </w:tc>
        <w:tc>
          <w:tcPr/>
          <w:p>
            <w:pPr>
              <w:pStyle w:val="Compact"/>
              <w:jc w:val="left"/>
            </w:pPr>
            <w:r>
              <w:t xml:space="preserve">Catalyst rate constant</w:t>
            </w:r>
          </w:p>
        </w:tc>
      </w:tr>
      <w:tr>
        <w:tc>
          <w:tcPr/>
          <w:p>
            <w:pPr>
              <w:pStyle w:val="Compact"/>
              <w:jc w:val="left"/>
            </w:pPr>
            <w:r>
              <w:t xml:space="preserve">Ki</w:t>
            </w:r>
          </w:p>
        </w:tc>
        <w:tc>
          <w:tcPr/>
          <w:p>
            <w:pPr>
              <w:pStyle w:val="Compact"/>
              <w:jc w:val="left"/>
            </w:pPr>
            <w:r>
              <w:t xml:space="preserve">Inhibitor constant</w:t>
            </w:r>
          </w:p>
        </w:tc>
      </w:tr>
      <w:tr>
        <w:tc>
          <w:tcPr/>
          <w:p>
            <w:pPr>
              <w:pStyle w:val="Compact"/>
              <w:jc w:val="left"/>
            </w:pPr>
            <w:r>
              <w:t xml:space="preserve">Kinact</w:t>
            </w:r>
          </w:p>
        </w:tc>
        <w:tc>
          <w:tcPr/>
          <w:p>
            <w:pPr>
              <w:pStyle w:val="Compact"/>
              <w:jc w:val="left"/>
            </w:pPr>
            <w:r>
              <w:t xml:space="preserve">Rate of enzyme inactivation</w:t>
            </w:r>
          </w:p>
        </w:tc>
      </w:tr>
      <w:tr>
        <w:tc>
          <w:tcPr/>
          <w:p>
            <w:pPr>
              <w:pStyle w:val="Compact"/>
              <w:jc w:val="left"/>
            </w:pPr>
            <w:r>
              <w:t xml:space="preserve">Km</w:t>
            </w:r>
          </w:p>
        </w:tc>
        <w:tc>
          <w:tcPr/>
          <w:p>
            <w:pPr>
              <w:pStyle w:val="Compact"/>
              <w:jc w:val="left"/>
            </w:pPr>
            <w:r>
              <w:t xml:space="preserve">Michaelis Menten constant</w:t>
            </w:r>
          </w:p>
        </w:tc>
      </w:tr>
      <w:tr>
        <w:tc>
          <w:tcPr/>
          <w:p>
            <w:pPr>
              <w:pStyle w:val="Compact"/>
              <w:jc w:val="left"/>
            </w:pPr>
            <w:r>
              <w:t xml:space="preserve">m.d.</w:t>
            </w:r>
          </w:p>
        </w:tc>
        <w:tc>
          <w:tcPr/>
          <w:p>
            <w:pPr>
              <w:pStyle w:val="Compact"/>
              <w:jc w:val="left"/>
            </w:pPr>
            <w:r>
              <w:t xml:space="preserve">Multiple dose</w:t>
            </w:r>
          </w:p>
        </w:tc>
      </w:tr>
      <w:tr>
        <w:tc>
          <w:tcPr/>
          <w:p>
            <w:pPr>
              <w:pStyle w:val="Compact"/>
              <w:jc w:val="left"/>
            </w:pPr>
            <w:r>
              <w:t xml:space="preserve">OSP</w:t>
            </w:r>
          </w:p>
        </w:tc>
        <w:tc>
          <w:tcPr/>
          <w:p>
            <w:pPr>
              <w:pStyle w:val="Compact"/>
              <w:jc w:val="left"/>
            </w:pPr>
            <w:r>
              <w:t xml:space="preserve">Open Systems Pharmacology</w:t>
            </w:r>
          </w:p>
        </w:tc>
      </w:tr>
      <w:tr>
        <w:tc>
          <w:tcPr/>
          <w:p>
            <w:pPr>
              <w:pStyle w:val="Compact"/>
              <w:jc w:val="left"/>
            </w:pPr>
            <w:r>
              <w:t xml:space="preserve">PBPK</w:t>
            </w:r>
          </w:p>
        </w:tc>
        <w:tc>
          <w:tcPr/>
          <w:p>
            <w:pPr>
              <w:pStyle w:val="Compact"/>
              <w:jc w:val="left"/>
            </w:pPr>
            <w:r>
              <w:t xml:space="preserve">Physiologically-based pharmacokinetics</w:t>
            </w:r>
          </w:p>
        </w:tc>
      </w:tr>
      <w:tr>
        <w:tc>
          <w:tcPr/>
          <w:p>
            <w:pPr>
              <w:pStyle w:val="Compact"/>
              <w:jc w:val="left"/>
            </w:pPr>
            <w:r>
              <w:t xml:space="preserve">PK</w:t>
            </w:r>
          </w:p>
        </w:tc>
        <w:tc>
          <w:tcPr/>
          <w:p>
            <w:pPr>
              <w:pStyle w:val="Compact"/>
              <w:jc w:val="left"/>
            </w:pPr>
            <w:r>
              <w:t xml:space="preserve">Pharmacokinetics</w:t>
            </w:r>
          </w:p>
        </w:tc>
      </w:tr>
      <w:tr>
        <w:tc>
          <w:tcPr/>
          <w:p>
            <w:pPr>
              <w:pStyle w:val="Compact"/>
              <w:jc w:val="left"/>
            </w:pPr>
            <w:r>
              <w:t xml:space="preserve">PI</w:t>
            </w:r>
          </w:p>
        </w:tc>
        <w:tc>
          <w:tcPr/>
          <w:p>
            <w:pPr>
              <w:pStyle w:val="Compact"/>
              <w:jc w:val="left"/>
            </w:pPr>
            <w:r>
              <w:t xml:space="preserve">Parameter identification</w:t>
            </w:r>
          </w:p>
        </w:tc>
      </w:tr>
      <w:tr>
        <w:tc>
          <w:tcPr/>
          <w:p>
            <w:pPr>
              <w:pStyle w:val="Compact"/>
              <w:jc w:val="left"/>
            </w:pPr>
            <w:r>
              <w:t xml:space="preserve">PM</w:t>
            </w:r>
          </w:p>
        </w:tc>
        <w:tc>
          <w:tcPr/>
          <w:p>
            <w:pPr>
              <w:pStyle w:val="Compact"/>
              <w:jc w:val="left"/>
            </w:pPr>
            <w:r>
              <w:t xml:space="preserve">Poor metabolizers</w:t>
            </w:r>
          </w:p>
        </w:tc>
      </w:tr>
      <w:tr>
        <w:tc>
          <w:tcPr/>
          <w:p>
            <w:pPr>
              <w:pStyle w:val="Compact"/>
              <w:jc w:val="left"/>
            </w:pPr>
            <w:r>
              <w:t xml:space="preserve">RT-PCR</w:t>
            </w:r>
          </w:p>
        </w:tc>
        <w:tc>
          <w:tcPr/>
          <w:p>
            <w:pPr>
              <w:pStyle w:val="Compact"/>
              <w:jc w:val="left"/>
            </w:pPr>
            <w:r>
              <w:t xml:space="preserve">Reverse transcription polymerase chain reaction</w:t>
            </w:r>
          </w:p>
        </w:tc>
      </w:tr>
      <w:tr>
        <w:tc>
          <w:tcPr/>
          <w:p>
            <w:pPr>
              <w:pStyle w:val="Compact"/>
              <w:jc w:val="left"/>
            </w:pPr>
            <w:r>
              <w:t xml:space="preserve">p.o.</w:t>
            </w:r>
          </w:p>
        </w:tc>
        <w:tc>
          <w:tcPr/>
          <w:p>
            <w:pPr>
              <w:pStyle w:val="Compact"/>
              <w:jc w:val="left"/>
            </w:pPr>
            <w:r>
              <w:t xml:space="preserve">Per os</w:t>
            </w:r>
          </w:p>
        </w:tc>
      </w:tr>
      <w:tr>
        <w:tc>
          <w:tcPr/>
          <w:p>
            <w:pPr>
              <w:pStyle w:val="Compact"/>
              <w:jc w:val="left"/>
            </w:pPr>
            <w:r>
              <w:t xml:space="preserve">q.d.</w:t>
            </w:r>
          </w:p>
        </w:tc>
        <w:tc>
          <w:tcPr/>
          <w:p>
            <w:pPr>
              <w:pStyle w:val="Compact"/>
              <w:jc w:val="left"/>
            </w:pPr>
            <w:r>
              <w:t xml:space="preserve">Once daily (quaque diem)</w:t>
            </w:r>
          </w:p>
        </w:tc>
      </w:tr>
      <w:tr>
        <w:tc>
          <w:tcPr/>
          <w:p>
            <w:pPr>
              <w:pStyle w:val="Compact"/>
              <w:jc w:val="left"/>
            </w:pPr>
            <w:r>
              <w:t xml:space="preserve">SD</w:t>
            </w:r>
          </w:p>
        </w:tc>
        <w:tc>
          <w:tcPr/>
          <w:p>
            <w:pPr>
              <w:pStyle w:val="Compact"/>
              <w:jc w:val="left"/>
            </w:pPr>
            <w:r>
              <w:t xml:space="preserve">Single Dose</w:t>
            </w:r>
          </w:p>
        </w:tc>
      </w:tr>
      <w:tr>
        <w:tc>
          <w:tcPr/>
          <w:p>
            <w:pPr>
              <w:pStyle w:val="Compact"/>
              <w:jc w:val="left"/>
            </w:pPr>
            <w:r>
              <w:t xml:space="preserve">SE</w:t>
            </w:r>
          </w:p>
        </w:tc>
        <w:tc>
          <w:tcPr/>
          <w:p>
            <w:pPr>
              <w:pStyle w:val="Compact"/>
              <w:jc w:val="left"/>
            </w:pPr>
            <w:r>
              <w:t xml:space="preserve">Standard error</w:t>
            </w:r>
          </w:p>
        </w:tc>
      </w:tr>
      <w:tr>
        <w:tc>
          <w:tcPr/>
          <w:p>
            <w:pPr>
              <w:pStyle w:val="Compact"/>
              <w:jc w:val="left"/>
            </w:pPr>
            <w:r>
              <w:t xml:space="preserve">s.d.SPC</w:t>
            </w:r>
          </w:p>
        </w:tc>
        <w:tc>
          <w:tcPr/>
          <w:p>
            <w:pPr>
              <w:pStyle w:val="Compact"/>
              <w:jc w:val="left"/>
            </w:pPr>
            <w:r>
              <w:t xml:space="preserve">Single dose Summary of Product Characteristics</w:t>
            </w:r>
          </w:p>
        </w:tc>
      </w:tr>
      <w:tr>
        <w:tc>
          <w:tcPr/>
          <w:p>
            <w:pPr>
              <w:pStyle w:val="Compact"/>
              <w:jc w:val="left"/>
            </w:pPr>
            <w:r>
              <w:t xml:space="preserve">SD</w:t>
            </w:r>
          </w:p>
        </w:tc>
        <w:tc>
          <w:tcPr/>
          <w:p>
            <w:pPr>
              <w:pStyle w:val="Compact"/>
              <w:jc w:val="left"/>
            </w:pPr>
            <w:r>
              <w:t xml:space="preserve">Standard deviation</w:t>
            </w:r>
          </w:p>
        </w:tc>
      </w:tr>
      <w:tr>
        <w:tc>
          <w:tcPr/>
          <w:p>
            <w:pPr>
              <w:pStyle w:val="Compact"/>
              <w:jc w:val="left"/>
            </w:pPr>
            <w:r>
              <w:t xml:space="preserve">TDI</w:t>
            </w:r>
          </w:p>
        </w:tc>
        <w:tc>
          <w:tcPr/>
          <w:p>
            <w:pPr>
              <w:pStyle w:val="Compact"/>
              <w:jc w:val="left"/>
            </w:pPr>
            <w:r>
              <w:t xml:space="preserve">Time dependent inhibition</w:t>
            </w:r>
          </w:p>
        </w:tc>
      </w:tr>
      <w:tr>
        <w:tc>
          <w:tcPr/>
          <w:p>
            <w:pPr>
              <w:pStyle w:val="Compact"/>
              <w:jc w:val="left"/>
            </w:pPr>
            <w:r>
              <w:t xml:space="preserve">t.i.d</w:t>
            </w:r>
          </w:p>
        </w:tc>
        <w:tc>
          <w:tcPr/>
          <w:p>
            <w:pPr>
              <w:pStyle w:val="Compact"/>
              <w:jc w:val="left"/>
            </w:pPr>
            <w:r>
              <w:t xml:space="preserve">Three times a day (ter in die)</w:t>
            </w:r>
          </w:p>
        </w:tc>
      </w:tr>
      <w:tr>
        <w:tc>
          <w:tcPr/>
          <w:p>
            <w:pPr>
              <w:pStyle w:val="Compact"/>
              <w:jc w:val="left"/>
            </w:pPr>
            <w:r>
              <w:t xml:space="preserve">UGT</w:t>
            </w:r>
          </w:p>
        </w:tc>
        <w:tc>
          <w:tcPr/>
          <w:p>
            <w:pPr>
              <w:pStyle w:val="Compact"/>
              <w:jc w:val="left"/>
            </w:pPr>
            <w:r>
              <w:t xml:space="preserve">Uridine 5’-diphospho-glucuronosyltransferase</w:t>
            </w:r>
          </w:p>
        </w:tc>
      </w:tr>
      <w:tr>
        <w:tc>
          <w:tcPr/>
          <w:p>
            <w:pPr>
              <w:pStyle w:val="Compact"/>
              <w:jc w:val="left"/>
            </w:pPr>
            <w:r>
              <w:t xml:space="preserve">UM</w:t>
            </w:r>
          </w:p>
        </w:tc>
        <w:tc>
          <w:tcPr/>
          <w:p>
            <w:pPr>
              <w:pStyle w:val="Compact"/>
              <w:jc w:val="left"/>
            </w:pPr>
            <w:r>
              <w:t xml:space="preserve">Ultra-rapid metabolizers</w:t>
            </w:r>
          </w:p>
        </w:tc>
      </w:tr>
    </w:tbl>
    <w:bookmarkEnd w:id="196"/>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82" Target="media/rId82.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85" Target="media/rId85.png" /><Relationship Type="http://schemas.openxmlformats.org/officeDocument/2006/relationships/image" Id="rId142" Target="media/rId142.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46" Target="media/rId1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Omeprazole in adults</dc:title>
  <dc:creator/>
  <cp:keywords/>
  <dcterms:created xsi:type="dcterms:W3CDTF">2025-05-16T09:22:25Z</dcterms:created>
  <dcterms:modified xsi:type="dcterms:W3CDTF">2025-05-16T09:22:25Z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Planhttps://github.com/Open-Systems-Pharmacology/Omeprazole-Model/releases/tag/v1.0OSP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